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6A" w:rsidRPr="00FB6CE7" w:rsidRDefault="001B726A" w:rsidP="008E11A3">
      <w:pPr>
        <w:pStyle w:val="BodyText2"/>
        <w:rPr>
          <w:sz w:val="32"/>
          <w:szCs w:val="32"/>
        </w:rPr>
      </w:pPr>
      <w:r w:rsidRPr="00FB6CE7">
        <w:rPr>
          <w:sz w:val="32"/>
          <w:szCs w:val="32"/>
        </w:rPr>
        <w:t>Сибирский Государственный Университет Телекоммуникаций и Информатики</w:t>
      </w:r>
    </w:p>
    <w:p w:rsidR="001B726A" w:rsidRPr="00FB6CE7" w:rsidRDefault="001B726A" w:rsidP="008E11A3">
      <w:pPr>
        <w:jc w:val="center"/>
        <w:rPr>
          <w:b/>
          <w:sz w:val="32"/>
          <w:szCs w:val="32"/>
        </w:rPr>
      </w:pPr>
    </w:p>
    <w:p w:rsidR="001B726A" w:rsidRPr="00FB6CE7" w:rsidRDefault="001B726A" w:rsidP="008E11A3">
      <w:pPr>
        <w:jc w:val="center"/>
        <w:rPr>
          <w:b/>
          <w:sz w:val="32"/>
          <w:szCs w:val="32"/>
        </w:rPr>
      </w:pPr>
      <w:r w:rsidRPr="00FB6CE7">
        <w:rPr>
          <w:b/>
          <w:sz w:val="32"/>
          <w:szCs w:val="32"/>
        </w:rPr>
        <w:t>Межрегиональный центр переподготовки специалистов</w:t>
      </w:r>
    </w:p>
    <w:p w:rsidR="001B726A" w:rsidRPr="00FB6CE7" w:rsidRDefault="001B726A" w:rsidP="008E11A3">
      <w:pPr>
        <w:jc w:val="center"/>
        <w:rPr>
          <w:b/>
          <w:sz w:val="32"/>
          <w:szCs w:val="32"/>
        </w:rPr>
      </w:pPr>
    </w:p>
    <w:p w:rsidR="001B726A" w:rsidRDefault="001B726A" w:rsidP="008E11A3">
      <w:pPr>
        <w:jc w:val="center"/>
        <w:rPr>
          <w:b/>
        </w:rPr>
      </w:pPr>
    </w:p>
    <w:p w:rsidR="001B726A" w:rsidRDefault="001B726A" w:rsidP="008E11A3">
      <w:pPr>
        <w:jc w:val="center"/>
        <w:rPr>
          <w:b/>
        </w:rPr>
      </w:pPr>
    </w:p>
    <w:p w:rsidR="001B726A" w:rsidRPr="009C53CA" w:rsidRDefault="001B726A" w:rsidP="008E11A3">
      <w:pPr>
        <w:pStyle w:val="Heading1"/>
        <w:ind w:firstLine="0"/>
      </w:pPr>
      <w:r>
        <w:t>КОНТРОЛЬНАЯ работа</w:t>
      </w:r>
    </w:p>
    <w:p w:rsidR="001B726A" w:rsidRDefault="001B726A" w:rsidP="008E11A3">
      <w:pPr>
        <w:jc w:val="center"/>
        <w:rPr>
          <w:b/>
        </w:rPr>
      </w:pPr>
    </w:p>
    <w:p w:rsidR="001B726A" w:rsidRDefault="001B726A" w:rsidP="008E11A3">
      <w:pPr>
        <w:jc w:val="center"/>
        <w:rPr>
          <w:b/>
        </w:rPr>
      </w:pPr>
    </w:p>
    <w:p w:rsidR="001B726A" w:rsidRDefault="001B726A" w:rsidP="008E11A3">
      <w:pPr>
        <w:jc w:val="center"/>
        <w:rPr>
          <w:b/>
        </w:rPr>
      </w:pPr>
    </w:p>
    <w:p w:rsidR="001B726A" w:rsidRPr="008A049E" w:rsidRDefault="001B726A" w:rsidP="008E11A3">
      <w:r>
        <w:rPr>
          <w:b/>
        </w:rPr>
        <w:t xml:space="preserve">По дисциплине: </w:t>
      </w:r>
      <w:r w:rsidRPr="008A049E">
        <w:t>Страхование</w:t>
      </w:r>
    </w:p>
    <w:p w:rsidR="001B726A" w:rsidRPr="009C53CA" w:rsidRDefault="001B726A" w:rsidP="008E11A3"/>
    <w:p w:rsidR="001B726A" w:rsidRDefault="001B726A" w:rsidP="008E11A3">
      <w:r w:rsidRPr="00CE5D34">
        <w:rPr>
          <w:b/>
        </w:rPr>
        <w:t>Вариант</w:t>
      </w:r>
      <w:r>
        <w:t>: 5</w:t>
      </w:r>
    </w:p>
    <w:p w:rsidR="001B726A" w:rsidRDefault="001B726A" w:rsidP="008E11A3"/>
    <w:p w:rsidR="001B726A" w:rsidRPr="00A4391F" w:rsidRDefault="001B726A" w:rsidP="008E11A3">
      <w:pPr>
        <w:jc w:val="center"/>
        <w:rPr>
          <w:sz w:val="32"/>
        </w:rPr>
      </w:pPr>
    </w:p>
    <w:p w:rsidR="001B726A" w:rsidRPr="007C2225" w:rsidRDefault="001B726A" w:rsidP="008E11A3">
      <w:pPr>
        <w:ind w:firstLine="0"/>
        <w:rPr>
          <w:b/>
          <w:sz w:val="32"/>
        </w:rPr>
      </w:pPr>
    </w:p>
    <w:p w:rsidR="001B726A" w:rsidRPr="007C2225" w:rsidRDefault="001B726A" w:rsidP="008E11A3">
      <w:pPr>
        <w:jc w:val="center"/>
        <w:rPr>
          <w:b/>
          <w:sz w:val="32"/>
        </w:rPr>
      </w:pPr>
    </w:p>
    <w:p w:rsidR="001B726A" w:rsidRDefault="001B726A" w:rsidP="008E11A3">
      <w:pPr>
        <w:jc w:val="right"/>
      </w:pPr>
      <w:r>
        <w:rPr>
          <w:b/>
        </w:rPr>
        <w:t xml:space="preserve">                 Выполнил</w:t>
      </w:r>
      <w:r>
        <w:t>: слушатель группы ФКВ-21</w:t>
      </w:r>
    </w:p>
    <w:p w:rsidR="001B726A" w:rsidRDefault="001B726A" w:rsidP="008E11A3">
      <w:pPr>
        <w:jc w:val="right"/>
      </w:pPr>
      <w:r>
        <w:rPr>
          <w:b/>
        </w:rPr>
        <w:t xml:space="preserve">    </w:t>
      </w:r>
      <w:r>
        <w:t>Евдокимова Татьяна Витальевна</w:t>
      </w:r>
    </w:p>
    <w:p w:rsidR="001B726A" w:rsidRDefault="001B726A" w:rsidP="008E11A3">
      <w:pPr>
        <w:jc w:val="right"/>
      </w:pPr>
    </w:p>
    <w:p w:rsidR="001B726A" w:rsidRDefault="001B726A" w:rsidP="008E11A3">
      <w:pPr>
        <w:ind w:firstLine="0"/>
      </w:pPr>
    </w:p>
    <w:p w:rsidR="001B726A" w:rsidRDefault="001B726A" w:rsidP="008E11A3">
      <w:pPr>
        <w:jc w:val="right"/>
      </w:pPr>
      <w:r>
        <w:rPr>
          <w:b/>
        </w:rPr>
        <w:t>Проверил</w:t>
      </w:r>
      <w:r>
        <w:t xml:space="preserve">: </w:t>
      </w:r>
      <w:r w:rsidRPr="0017734F">
        <w:t>Пожидаева Людмила Борисовна</w:t>
      </w:r>
    </w:p>
    <w:p w:rsidR="001B726A" w:rsidRDefault="001B726A" w:rsidP="008E11A3">
      <w:pPr>
        <w:ind w:firstLine="3686"/>
        <w:jc w:val="center"/>
      </w:pPr>
    </w:p>
    <w:p w:rsidR="001B726A" w:rsidRDefault="001B726A" w:rsidP="008E11A3">
      <w:pPr>
        <w:ind w:firstLine="3686"/>
        <w:jc w:val="center"/>
      </w:pPr>
    </w:p>
    <w:p w:rsidR="001B726A" w:rsidRPr="004E6D77" w:rsidRDefault="001B726A" w:rsidP="008E11A3">
      <w:pPr>
        <w:ind w:firstLine="3686"/>
        <w:jc w:val="center"/>
      </w:pPr>
    </w:p>
    <w:p w:rsidR="001B726A" w:rsidRPr="004E6D77" w:rsidRDefault="001B726A" w:rsidP="008E11A3">
      <w:pPr>
        <w:ind w:firstLine="3686"/>
        <w:jc w:val="center"/>
      </w:pPr>
    </w:p>
    <w:p w:rsidR="001B726A" w:rsidRDefault="001B726A" w:rsidP="008E11A3">
      <w:pPr>
        <w:ind w:firstLine="0"/>
        <w:jc w:val="center"/>
      </w:pPr>
    </w:p>
    <w:p w:rsidR="001B726A" w:rsidRDefault="001B726A" w:rsidP="008E11A3">
      <w:pPr>
        <w:ind w:firstLine="0"/>
        <w:jc w:val="center"/>
      </w:pPr>
      <w:r>
        <w:t>Новосибирск 20</w:t>
      </w:r>
      <w:r w:rsidRPr="00FB6CE7">
        <w:t>1</w:t>
      </w:r>
      <w:r>
        <w:t>4</w:t>
      </w:r>
    </w:p>
    <w:p w:rsidR="001B726A" w:rsidRDefault="001B726A" w:rsidP="008A049E">
      <w:pPr>
        <w:spacing w:line="240" w:lineRule="auto"/>
        <w:ind w:firstLine="0"/>
        <w:jc w:val="center"/>
      </w:pPr>
      <w:r>
        <w:t>ВАРИАНТ 5</w:t>
      </w:r>
    </w:p>
    <w:p w:rsidR="001B726A" w:rsidRDefault="001B726A" w:rsidP="008A049E">
      <w:pPr>
        <w:spacing w:line="240" w:lineRule="auto"/>
        <w:ind w:firstLine="0"/>
        <w:jc w:val="center"/>
      </w:pPr>
    </w:p>
    <w:p w:rsidR="001B726A" w:rsidRDefault="001B726A" w:rsidP="0017734F">
      <w:pPr>
        <w:spacing w:line="240" w:lineRule="auto"/>
        <w:ind w:firstLine="0"/>
        <w:jc w:val="left"/>
      </w:pPr>
      <w:r>
        <w:t>Задание 1.</w:t>
      </w:r>
    </w:p>
    <w:p w:rsidR="001B726A" w:rsidRDefault="001B726A" w:rsidP="0017734F">
      <w:pPr>
        <w:spacing w:line="240" w:lineRule="auto"/>
        <w:ind w:firstLine="0"/>
      </w:pPr>
      <w:r>
        <w:t>Тема – Управление инвестиционным потенциалом страховой компании.</w:t>
      </w:r>
    </w:p>
    <w:p w:rsidR="001B726A" w:rsidRDefault="001B726A" w:rsidP="0017734F">
      <w:pPr>
        <w:spacing w:line="240" w:lineRule="auto"/>
        <w:ind w:firstLine="0"/>
      </w:pPr>
    </w:p>
    <w:p w:rsidR="001B726A" w:rsidRDefault="001B726A" w:rsidP="0017734F">
      <w:pPr>
        <w:spacing w:line="240" w:lineRule="auto"/>
        <w:ind w:firstLine="0"/>
      </w:pPr>
    </w:p>
    <w:p w:rsidR="001B726A" w:rsidRDefault="001B726A" w:rsidP="0017734F">
      <w:pPr>
        <w:spacing w:line="240" w:lineRule="auto"/>
        <w:ind w:firstLine="0"/>
        <w:jc w:val="left"/>
      </w:pPr>
      <w:r>
        <w:t>Задание 2.</w:t>
      </w:r>
    </w:p>
    <w:p w:rsidR="001B726A" w:rsidRDefault="001B726A" w:rsidP="008A049E">
      <w:pPr>
        <w:spacing w:line="240" w:lineRule="auto"/>
        <w:ind w:firstLine="0"/>
      </w:pPr>
      <w:r>
        <w:t xml:space="preserve">         При страховании по генеральному полису партий товаров, перевозимых автомобильным транспортом, было предусмотрено наличие безусловной франшизы в размере 50000 рублей на весь период страхования, но не более 1% от страховой суммы партии, по каждому убытку. При перевозке последней партии произошла порча груза, ущерб составил 280000 рублей. Страховая сумма партии – 880000 рублей. В страховом полисе последней партии размер безусловной франшизы указан в размере 8%от страховой суммы партии. Какой размер франшизы будет использован при определении страховой выплаты? Чему будет равна страховая выплата?</w:t>
      </w:r>
    </w:p>
    <w:p w:rsidR="001B726A" w:rsidRDefault="001B726A" w:rsidP="008A049E">
      <w:pPr>
        <w:spacing w:line="240" w:lineRule="auto"/>
        <w:ind w:firstLine="0"/>
      </w:pPr>
    </w:p>
    <w:p w:rsidR="001B726A" w:rsidRPr="004A756E" w:rsidRDefault="001B726A" w:rsidP="008A049E">
      <w:pPr>
        <w:spacing w:line="240" w:lineRule="auto"/>
        <w:ind w:firstLine="0"/>
        <w:rPr>
          <w:u w:val="single"/>
        </w:rPr>
      </w:pPr>
      <w:r w:rsidRPr="004A756E">
        <w:rPr>
          <w:u w:val="single"/>
        </w:rPr>
        <w:t xml:space="preserve">Решение: </w:t>
      </w:r>
    </w:p>
    <w:p w:rsidR="001B726A" w:rsidRPr="004A756E" w:rsidRDefault="001B726A" w:rsidP="008A049E">
      <w:pPr>
        <w:spacing w:line="240" w:lineRule="auto"/>
        <w:ind w:firstLine="0"/>
      </w:pPr>
      <w:r>
        <w:t>Размер франшизы должен быть 8</w:t>
      </w:r>
      <w:r w:rsidRPr="004A756E">
        <w:t xml:space="preserve">% от страховой суммы партии, т.е. </w:t>
      </w:r>
      <w:r>
        <w:t>70 4</w:t>
      </w:r>
      <w:r w:rsidRPr="004A756E">
        <w:t>00 рублей. Указанный предел процента франшизы (не более 1%) в генеральном полисе партии использоваться не может, так как в соответствии со статьей 941 ГК РФ страховщик обязан выдавать страховые полисы по отдельным партиям имущества, подпадающим под действие генерального полиса. При этом в случае несоответствия содержания страхового полиса генеральному полису предпочтение отдается страховому полису.</w:t>
      </w:r>
    </w:p>
    <w:p w:rsidR="001B726A" w:rsidRDefault="001B726A" w:rsidP="008A049E">
      <w:pPr>
        <w:spacing w:line="240" w:lineRule="auto"/>
        <w:ind w:firstLine="0"/>
      </w:pPr>
    </w:p>
    <w:p w:rsidR="001B726A" w:rsidRDefault="001B726A" w:rsidP="008A049E">
      <w:pPr>
        <w:spacing w:line="240" w:lineRule="auto"/>
        <w:ind w:firstLine="0"/>
      </w:pPr>
    </w:p>
    <w:p w:rsidR="001B726A" w:rsidRDefault="001B726A" w:rsidP="0017734F">
      <w:pPr>
        <w:spacing w:line="240" w:lineRule="auto"/>
        <w:ind w:firstLine="0"/>
        <w:jc w:val="left"/>
      </w:pPr>
      <w:r>
        <w:t>Задание 3.</w:t>
      </w:r>
    </w:p>
    <w:p w:rsidR="001B726A" w:rsidRDefault="001B726A" w:rsidP="008A049E">
      <w:pPr>
        <w:spacing w:line="240" w:lineRule="auto"/>
        <w:ind w:firstLine="0"/>
      </w:pPr>
      <w:r>
        <w:t>Рассчитать размер страхового тарифа на 100 рублей страховой суммы по договору страхования автотранспортного средства соответствующей марки и модели по следующим данным.</w:t>
      </w:r>
    </w:p>
    <w:p w:rsidR="001B726A" w:rsidRDefault="001B726A" w:rsidP="008A049E">
      <w:pPr>
        <w:spacing w:line="240" w:lineRule="auto"/>
        <w:ind w:firstLine="0"/>
      </w:pPr>
    </w:p>
    <w:p w:rsidR="001B726A" w:rsidRDefault="001B726A" w:rsidP="008A049E">
      <w:pPr>
        <w:spacing w:line="240" w:lineRule="auto"/>
        <w:ind w:firstLine="0"/>
      </w:pPr>
      <w:r>
        <w:t xml:space="preserve">Таблица 9 – Данные страховой статистики компании по соответствующей категории автотранспортных средств </w:t>
      </w:r>
    </w:p>
    <w:tbl>
      <w:tblPr>
        <w:tblStyle w:val="TableGrid"/>
        <w:tblW w:w="0" w:type="auto"/>
        <w:tblLook w:val="01E0"/>
      </w:tblPr>
      <w:tblGrid>
        <w:gridCol w:w="3190"/>
        <w:gridCol w:w="3190"/>
        <w:gridCol w:w="3191"/>
      </w:tblGrid>
      <w:tr w:rsidR="001B726A" w:rsidTr="008A049E">
        <w:tc>
          <w:tcPr>
            <w:tcW w:w="3190" w:type="dxa"/>
          </w:tcPr>
          <w:p w:rsidR="001B726A" w:rsidRPr="008A049E" w:rsidRDefault="001B726A" w:rsidP="008A049E">
            <w:pPr>
              <w:spacing w:line="240" w:lineRule="auto"/>
              <w:ind w:firstLine="0"/>
              <w:rPr>
                <w:szCs w:val="22"/>
              </w:rPr>
            </w:pPr>
            <w:r w:rsidRPr="008A049E">
              <w:rPr>
                <w:szCs w:val="22"/>
              </w:rPr>
              <w:t>Год предшествующего аналитического периода</w:t>
            </w:r>
          </w:p>
        </w:tc>
        <w:tc>
          <w:tcPr>
            <w:tcW w:w="3190" w:type="dxa"/>
          </w:tcPr>
          <w:p w:rsidR="001B726A" w:rsidRPr="008A049E" w:rsidRDefault="001B726A" w:rsidP="008A049E">
            <w:pPr>
              <w:spacing w:line="240" w:lineRule="auto"/>
              <w:ind w:firstLine="0"/>
              <w:rPr>
                <w:szCs w:val="22"/>
              </w:rPr>
            </w:pPr>
            <w:r w:rsidRPr="008A049E">
              <w:rPr>
                <w:szCs w:val="22"/>
              </w:rPr>
              <w:t>Страховая сумма по заключенным договорам страхования, тыс. руб.</w:t>
            </w:r>
          </w:p>
        </w:tc>
        <w:tc>
          <w:tcPr>
            <w:tcW w:w="3191" w:type="dxa"/>
          </w:tcPr>
          <w:p w:rsidR="001B726A" w:rsidRPr="008A049E" w:rsidRDefault="001B726A" w:rsidP="008A049E">
            <w:pPr>
              <w:spacing w:line="240" w:lineRule="auto"/>
              <w:ind w:firstLine="0"/>
              <w:rPr>
                <w:szCs w:val="22"/>
              </w:rPr>
            </w:pPr>
            <w:r w:rsidRPr="008A049E">
              <w:rPr>
                <w:szCs w:val="22"/>
              </w:rPr>
              <w:t>Страховая выплата по заключенным договорам страхования, тыс. руб.</w:t>
            </w:r>
          </w:p>
        </w:tc>
      </w:tr>
      <w:tr w:rsidR="001B726A" w:rsidTr="008A049E">
        <w:tc>
          <w:tcPr>
            <w:tcW w:w="3190" w:type="dxa"/>
          </w:tcPr>
          <w:p w:rsidR="001B726A" w:rsidRPr="008A049E" w:rsidRDefault="001B726A" w:rsidP="008A049E">
            <w:pPr>
              <w:spacing w:line="240" w:lineRule="auto"/>
              <w:ind w:firstLine="0"/>
              <w:rPr>
                <w:szCs w:val="22"/>
              </w:rPr>
            </w:pPr>
            <w:r w:rsidRPr="008A049E">
              <w:rPr>
                <w:szCs w:val="22"/>
              </w:rPr>
              <w:t>n</w:t>
            </w:r>
          </w:p>
        </w:tc>
        <w:tc>
          <w:tcPr>
            <w:tcW w:w="3190" w:type="dxa"/>
          </w:tcPr>
          <w:p w:rsidR="001B726A" w:rsidRPr="008A049E" w:rsidRDefault="001B726A" w:rsidP="008A049E">
            <w:pPr>
              <w:spacing w:line="240" w:lineRule="auto"/>
              <w:ind w:firstLine="0"/>
              <w:rPr>
                <w:szCs w:val="22"/>
              </w:rPr>
            </w:pPr>
            <w:r w:rsidRPr="008A049E">
              <w:rPr>
                <w:szCs w:val="22"/>
              </w:rPr>
              <w:t>56950</w:t>
            </w:r>
          </w:p>
        </w:tc>
        <w:tc>
          <w:tcPr>
            <w:tcW w:w="3191" w:type="dxa"/>
          </w:tcPr>
          <w:p w:rsidR="001B726A" w:rsidRPr="008A049E" w:rsidRDefault="001B726A" w:rsidP="008A049E">
            <w:pPr>
              <w:spacing w:line="240" w:lineRule="auto"/>
              <w:ind w:firstLine="0"/>
              <w:rPr>
                <w:szCs w:val="22"/>
              </w:rPr>
            </w:pPr>
            <w:r w:rsidRPr="008A049E">
              <w:rPr>
                <w:szCs w:val="22"/>
              </w:rPr>
              <w:t>5125,5</w:t>
            </w:r>
          </w:p>
        </w:tc>
      </w:tr>
      <w:tr w:rsidR="001B726A" w:rsidTr="008A049E">
        <w:tc>
          <w:tcPr>
            <w:tcW w:w="3190" w:type="dxa"/>
          </w:tcPr>
          <w:p w:rsidR="001B726A" w:rsidRPr="008A049E" w:rsidRDefault="001B726A" w:rsidP="008A049E">
            <w:pPr>
              <w:spacing w:line="240" w:lineRule="auto"/>
              <w:ind w:firstLine="0"/>
              <w:rPr>
                <w:szCs w:val="22"/>
              </w:rPr>
            </w:pPr>
            <w:r w:rsidRPr="008A049E">
              <w:rPr>
                <w:szCs w:val="22"/>
              </w:rPr>
              <w:t>n + 1</w:t>
            </w:r>
          </w:p>
        </w:tc>
        <w:tc>
          <w:tcPr>
            <w:tcW w:w="3190" w:type="dxa"/>
          </w:tcPr>
          <w:p w:rsidR="001B726A" w:rsidRPr="008A049E" w:rsidRDefault="001B726A" w:rsidP="008A049E">
            <w:pPr>
              <w:spacing w:line="240" w:lineRule="auto"/>
              <w:ind w:firstLine="0"/>
              <w:rPr>
                <w:szCs w:val="22"/>
              </w:rPr>
            </w:pPr>
            <w:r w:rsidRPr="008A049E">
              <w:rPr>
                <w:szCs w:val="22"/>
              </w:rPr>
              <w:t>73550</w:t>
            </w:r>
          </w:p>
        </w:tc>
        <w:tc>
          <w:tcPr>
            <w:tcW w:w="3191" w:type="dxa"/>
          </w:tcPr>
          <w:p w:rsidR="001B726A" w:rsidRPr="008A049E" w:rsidRDefault="001B726A" w:rsidP="008A049E">
            <w:pPr>
              <w:spacing w:line="240" w:lineRule="auto"/>
              <w:ind w:firstLine="0"/>
              <w:rPr>
                <w:szCs w:val="22"/>
              </w:rPr>
            </w:pPr>
            <w:r w:rsidRPr="008A049E">
              <w:rPr>
                <w:szCs w:val="22"/>
              </w:rPr>
              <w:t>9561,5</w:t>
            </w:r>
          </w:p>
        </w:tc>
      </w:tr>
      <w:tr w:rsidR="001B726A" w:rsidTr="008A049E">
        <w:tc>
          <w:tcPr>
            <w:tcW w:w="3190" w:type="dxa"/>
          </w:tcPr>
          <w:p w:rsidR="001B726A" w:rsidRPr="008A049E" w:rsidRDefault="001B726A" w:rsidP="008A049E">
            <w:pPr>
              <w:spacing w:line="240" w:lineRule="auto"/>
              <w:ind w:firstLine="0"/>
              <w:rPr>
                <w:szCs w:val="22"/>
              </w:rPr>
            </w:pPr>
            <w:r w:rsidRPr="008A049E">
              <w:rPr>
                <w:szCs w:val="22"/>
              </w:rPr>
              <w:t xml:space="preserve">n + </w:t>
            </w:r>
            <w:r>
              <w:rPr>
                <w:szCs w:val="22"/>
              </w:rPr>
              <w:t>2</w:t>
            </w:r>
          </w:p>
        </w:tc>
        <w:tc>
          <w:tcPr>
            <w:tcW w:w="3190" w:type="dxa"/>
          </w:tcPr>
          <w:p w:rsidR="001B726A" w:rsidRPr="008A049E" w:rsidRDefault="001B726A" w:rsidP="008A049E">
            <w:pPr>
              <w:spacing w:line="240" w:lineRule="auto"/>
              <w:ind w:firstLine="0"/>
              <w:rPr>
                <w:szCs w:val="22"/>
              </w:rPr>
            </w:pPr>
            <w:r w:rsidRPr="008A049E">
              <w:rPr>
                <w:szCs w:val="22"/>
              </w:rPr>
              <w:t>68875</w:t>
            </w:r>
          </w:p>
        </w:tc>
        <w:tc>
          <w:tcPr>
            <w:tcW w:w="3191" w:type="dxa"/>
          </w:tcPr>
          <w:p w:rsidR="001B726A" w:rsidRPr="008A049E" w:rsidRDefault="001B726A" w:rsidP="008A049E">
            <w:pPr>
              <w:spacing w:line="240" w:lineRule="auto"/>
              <w:ind w:firstLine="0"/>
              <w:rPr>
                <w:szCs w:val="22"/>
              </w:rPr>
            </w:pPr>
            <w:r w:rsidRPr="008A049E">
              <w:rPr>
                <w:szCs w:val="22"/>
              </w:rPr>
              <w:t>9986,9</w:t>
            </w:r>
          </w:p>
        </w:tc>
      </w:tr>
      <w:tr w:rsidR="001B726A" w:rsidTr="008A049E">
        <w:tc>
          <w:tcPr>
            <w:tcW w:w="3190" w:type="dxa"/>
          </w:tcPr>
          <w:p w:rsidR="001B726A" w:rsidRPr="008A049E" w:rsidRDefault="001B726A" w:rsidP="008A049E">
            <w:pPr>
              <w:spacing w:line="240" w:lineRule="auto"/>
              <w:ind w:firstLine="0"/>
              <w:rPr>
                <w:szCs w:val="22"/>
              </w:rPr>
            </w:pPr>
            <w:r w:rsidRPr="008A049E">
              <w:rPr>
                <w:szCs w:val="22"/>
              </w:rPr>
              <w:t xml:space="preserve">n + </w:t>
            </w:r>
            <w:r>
              <w:rPr>
                <w:szCs w:val="22"/>
              </w:rPr>
              <w:t>3</w:t>
            </w:r>
          </w:p>
        </w:tc>
        <w:tc>
          <w:tcPr>
            <w:tcW w:w="3190" w:type="dxa"/>
          </w:tcPr>
          <w:p w:rsidR="001B726A" w:rsidRPr="008A049E" w:rsidRDefault="001B726A" w:rsidP="008A049E">
            <w:pPr>
              <w:spacing w:line="240" w:lineRule="auto"/>
              <w:ind w:firstLine="0"/>
              <w:rPr>
                <w:szCs w:val="22"/>
              </w:rPr>
            </w:pPr>
            <w:r w:rsidRPr="008A049E">
              <w:rPr>
                <w:szCs w:val="22"/>
              </w:rPr>
              <w:t>77350</w:t>
            </w:r>
          </w:p>
        </w:tc>
        <w:tc>
          <w:tcPr>
            <w:tcW w:w="3191" w:type="dxa"/>
          </w:tcPr>
          <w:p w:rsidR="001B726A" w:rsidRPr="008A049E" w:rsidRDefault="001B726A" w:rsidP="008A049E">
            <w:pPr>
              <w:spacing w:line="240" w:lineRule="auto"/>
              <w:ind w:firstLine="0"/>
              <w:rPr>
                <w:szCs w:val="22"/>
              </w:rPr>
            </w:pPr>
            <w:r w:rsidRPr="008A049E">
              <w:rPr>
                <w:szCs w:val="22"/>
              </w:rPr>
              <w:t>13923,0</w:t>
            </w:r>
          </w:p>
        </w:tc>
      </w:tr>
      <w:tr w:rsidR="001B726A" w:rsidTr="008A049E">
        <w:tc>
          <w:tcPr>
            <w:tcW w:w="3190" w:type="dxa"/>
          </w:tcPr>
          <w:p w:rsidR="001B726A" w:rsidRPr="008A049E" w:rsidRDefault="001B726A" w:rsidP="008A049E">
            <w:pPr>
              <w:spacing w:line="240" w:lineRule="auto"/>
              <w:ind w:firstLine="0"/>
              <w:rPr>
                <w:szCs w:val="22"/>
              </w:rPr>
            </w:pPr>
            <w:r w:rsidRPr="008A049E">
              <w:rPr>
                <w:szCs w:val="22"/>
              </w:rPr>
              <w:t xml:space="preserve">n + </w:t>
            </w:r>
            <w:r>
              <w:rPr>
                <w:szCs w:val="22"/>
              </w:rPr>
              <w:t>4</w:t>
            </w:r>
          </w:p>
        </w:tc>
        <w:tc>
          <w:tcPr>
            <w:tcW w:w="3190" w:type="dxa"/>
          </w:tcPr>
          <w:p w:rsidR="001B726A" w:rsidRPr="008A049E" w:rsidRDefault="001B726A" w:rsidP="008A049E">
            <w:pPr>
              <w:spacing w:line="240" w:lineRule="auto"/>
              <w:ind w:firstLine="0"/>
              <w:rPr>
                <w:szCs w:val="22"/>
              </w:rPr>
            </w:pPr>
            <w:r w:rsidRPr="008A049E">
              <w:rPr>
                <w:szCs w:val="22"/>
              </w:rPr>
              <w:t>83650</w:t>
            </w:r>
          </w:p>
        </w:tc>
        <w:tc>
          <w:tcPr>
            <w:tcW w:w="3191" w:type="dxa"/>
          </w:tcPr>
          <w:p w:rsidR="001B726A" w:rsidRPr="008A049E" w:rsidRDefault="001B726A" w:rsidP="008A049E">
            <w:pPr>
              <w:spacing w:line="240" w:lineRule="auto"/>
              <w:ind w:firstLine="0"/>
              <w:rPr>
                <w:szCs w:val="22"/>
              </w:rPr>
            </w:pPr>
            <w:r w:rsidRPr="008A049E">
              <w:rPr>
                <w:szCs w:val="22"/>
              </w:rPr>
              <w:t>16311,75</w:t>
            </w:r>
          </w:p>
        </w:tc>
      </w:tr>
    </w:tbl>
    <w:p w:rsidR="001B726A" w:rsidRDefault="001B726A" w:rsidP="008A049E">
      <w:pPr>
        <w:spacing w:line="240" w:lineRule="auto"/>
        <w:ind w:firstLine="0"/>
      </w:pPr>
      <w:r>
        <w:t xml:space="preserve">  </w:t>
      </w:r>
    </w:p>
    <w:p w:rsidR="001B726A" w:rsidRDefault="001B726A" w:rsidP="008A049E">
      <w:pPr>
        <w:spacing w:line="240" w:lineRule="auto"/>
        <w:ind w:firstLine="0"/>
      </w:pPr>
      <w:r w:rsidRPr="008A049E">
        <w:t>Доля нагрузки в структуре брутто-ставки страхового тарифа – 25%.</w:t>
      </w:r>
    </w:p>
    <w:p w:rsidR="001B726A" w:rsidRDefault="001B726A" w:rsidP="008A049E">
      <w:pPr>
        <w:spacing w:line="240" w:lineRule="auto"/>
        <w:ind w:firstLine="0"/>
      </w:pPr>
    </w:p>
    <w:p w:rsidR="001B726A" w:rsidRDefault="001B726A" w:rsidP="00961B8D">
      <w:pPr>
        <w:jc w:val="center"/>
        <w:rPr>
          <w:b/>
          <w:szCs w:val="28"/>
        </w:rPr>
      </w:pPr>
      <w:r>
        <w:rPr>
          <w:b/>
          <w:szCs w:val="28"/>
        </w:rPr>
        <w:t>2 МЕТОДИЧЕСКИЕ УКАЗАНИЯ ПО ВЫПОЛНЕНИЮ</w:t>
      </w:r>
    </w:p>
    <w:p w:rsidR="001B726A" w:rsidRDefault="001B726A" w:rsidP="00961B8D">
      <w:pPr>
        <w:spacing w:line="240" w:lineRule="auto"/>
        <w:ind w:firstLine="0"/>
        <w:jc w:val="center"/>
        <w:rPr>
          <w:b/>
          <w:szCs w:val="28"/>
        </w:rPr>
      </w:pPr>
      <w:r>
        <w:rPr>
          <w:b/>
          <w:szCs w:val="28"/>
        </w:rPr>
        <w:t>КОНТРОЛЬНОЙ РАБОТЫ</w:t>
      </w:r>
    </w:p>
    <w:p w:rsidR="001B726A" w:rsidRDefault="001B726A" w:rsidP="00961B8D">
      <w:pPr>
        <w:spacing w:line="240" w:lineRule="auto"/>
        <w:ind w:firstLine="0"/>
        <w:rPr>
          <w:b/>
          <w:szCs w:val="28"/>
        </w:rPr>
      </w:pPr>
    </w:p>
    <w:p w:rsidR="001B726A" w:rsidRDefault="001B726A" w:rsidP="00961B8D">
      <w:pPr>
        <w:spacing w:line="240" w:lineRule="auto"/>
        <w:rPr>
          <w:szCs w:val="28"/>
        </w:rPr>
      </w:pPr>
      <w:r>
        <w:rPr>
          <w:szCs w:val="28"/>
          <w:u w:val="single"/>
        </w:rPr>
        <w:t>Задание 2</w:t>
      </w:r>
      <w:r>
        <w:rPr>
          <w:szCs w:val="28"/>
        </w:rPr>
        <w:t xml:space="preserve"> кроме конкретного ответа на поставленный вопрос должно обязательно содержать комментарии с ссылкой на соответствующие статьи закона. Для разрешения практических ситуаций студентам необходимо воспользоваться Гражданским кодексом Российской Федерации, а именно содержаниями статей главы 48.</w:t>
      </w:r>
    </w:p>
    <w:p w:rsidR="001B726A" w:rsidRDefault="001B726A" w:rsidP="00961B8D">
      <w:pPr>
        <w:spacing w:line="240" w:lineRule="auto"/>
        <w:ind w:firstLine="0"/>
        <w:rPr>
          <w:szCs w:val="28"/>
        </w:rPr>
      </w:pPr>
      <w:r>
        <w:rPr>
          <w:szCs w:val="28"/>
        </w:rPr>
        <w:t>Помощь в выполнении задания 3 студентам могут оказать материалы, представленные в четвертом разделе «Нормативно справочные данные». В частности при выполнении задания 3</w:t>
      </w:r>
      <w:r w:rsidRPr="00961B8D">
        <w:rPr>
          <w:szCs w:val="28"/>
        </w:rPr>
        <w:t xml:space="preserve"> </w:t>
      </w:r>
      <w:r>
        <w:rPr>
          <w:szCs w:val="28"/>
        </w:rPr>
        <w:t>в варианте 5 – Методикой (</w:t>
      </w:r>
      <w:r>
        <w:rPr>
          <w:b/>
          <w:szCs w:val="28"/>
          <w:lang w:val="en-US"/>
        </w:rPr>
        <w:t>II</w:t>
      </w:r>
      <w:r>
        <w:rPr>
          <w:szCs w:val="28"/>
        </w:rPr>
        <w:t xml:space="preserve">) расчета страховых тарифов по массовым рисковым видам страхования (3.3): </w:t>
      </w:r>
    </w:p>
    <w:p w:rsidR="001B726A" w:rsidRDefault="001B726A" w:rsidP="00961B8D">
      <w:pPr>
        <w:spacing w:line="240" w:lineRule="auto"/>
        <w:ind w:firstLine="0"/>
        <w:rPr>
          <w:szCs w:val="28"/>
        </w:rPr>
      </w:pPr>
    </w:p>
    <w:p w:rsidR="001B726A" w:rsidRDefault="001B726A" w:rsidP="00961B8D">
      <w:pPr>
        <w:jc w:val="center"/>
        <w:rPr>
          <w:b/>
          <w:szCs w:val="28"/>
        </w:rPr>
      </w:pPr>
      <w:r>
        <w:rPr>
          <w:b/>
          <w:szCs w:val="28"/>
        </w:rPr>
        <w:t>3.3 Методика расчета (</w:t>
      </w:r>
      <w:r>
        <w:rPr>
          <w:b/>
          <w:szCs w:val="28"/>
          <w:lang w:val="en-US"/>
        </w:rPr>
        <w:t>II</w:t>
      </w:r>
      <w:r>
        <w:rPr>
          <w:b/>
          <w:szCs w:val="28"/>
        </w:rPr>
        <w:t xml:space="preserve">) тарифных ставок по массовым </w:t>
      </w:r>
    </w:p>
    <w:p w:rsidR="001B726A" w:rsidRDefault="001B726A" w:rsidP="00961B8D">
      <w:pPr>
        <w:jc w:val="center"/>
        <w:rPr>
          <w:b/>
          <w:szCs w:val="28"/>
        </w:rPr>
      </w:pPr>
      <w:r>
        <w:rPr>
          <w:b/>
          <w:szCs w:val="28"/>
        </w:rPr>
        <w:t>рисковым видам страхования</w:t>
      </w:r>
    </w:p>
    <w:p w:rsidR="001B726A" w:rsidRDefault="001B726A" w:rsidP="00961B8D">
      <w:pPr>
        <w:jc w:val="center"/>
        <w:rPr>
          <w:b/>
          <w:szCs w:val="28"/>
        </w:rPr>
      </w:pPr>
    </w:p>
    <w:p w:rsidR="001B726A" w:rsidRDefault="001B726A" w:rsidP="00961B8D">
      <w:pPr>
        <w:spacing w:line="240" w:lineRule="auto"/>
        <w:rPr>
          <w:szCs w:val="28"/>
        </w:rPr>
      </w:pPr>
      <w:r>
        <w:rPr>
          <w:szCs w:val="28"/>
        </w:rPr>
        <w:tab/>
        <w:t>Данную методику целесообразно использовать по массовым видам страхования на основе имеющейся страховой статистики за определенный период времени или при отсутствии таковой использовать статистическую информационную базу (демографическая статистика, смертность, инвалидность, производственный травматизм и т.д.).</w:t>
      </w:r>
    </w:p>
    <w:p w:rsidR="001B726A" w:rsidRDefault="001B726A" w:rsidP="00961B8D">
      <w:pPr>
        <w:spacing w:line="240" w:lineRule="auto"/>
        <w:rPr>
          <w:szCs w:val="28"/>
        </w:rPr>
      </w:pPr>
      <w:r>
        <w:rPr>
          <w:szCs w:val="28"/>
        </w:rPr>
        <w:tab/>
        <w:t>Определение страхового тарифа на основе страховой статистики за несколько лет осуществляется с учетом прогнозируемого уровня убыточности страховой суммы на следующий год.</w:t>
      </w:r>
    </w:p>
    <w:p w:rsidR="001B726A" w:rsidRDefault="001B726A" w:rsidP="00961B8D">
      <w:pPr>
        <w:spacing w:line="240" w:lineRule="auto"/>
        <w:rPr>
          <w:szCs w:val="28"/>
        </w:rPr>
      </w:pPr>
      <w:r>
        <w:rPr>
          <w:szCs w:val="28"/>
        </w:rPr>
        <w:tab/>
        <w:t>Предлагаемая методика применима при следующих условиях:</w:t>
      </w:r>
    </w:p>
    <w:p w:rsidR="001B726A" w:rsidRDefault="001B726A" w:rsidP="00961B8D">
      <w:pPr>
        <w:numPr>
          <w:ilvl w:val="0"/>
          <w:numId w:val="5"/>
        </w:numPr>
        <w:spacing w:line="240" w:lineRule="auto"/>
        <w:contextualSpacing w:val="0"/>
        <w:rPr>
          <w:szCs w:val="28"/>
        </w:rPr>
      </w:pPr>
      <w:r>
        <w:rPr>
          <w:szCs w:val="28"/>
        </w:rPr>
        <w:t>Имеется информация о сумме страховых возмещений и совокупной страховой сумме по рискам, принятым на страхование, за ряд лет.</w:t>
      </w:r>
    </w:p>
    <w:p w:rsidR="001B726A" w:rsidRDefault="001B726A" w:rsidP="00961B8D">
      <w:pPr>
        <w:numPr>
          <w:ilvl w:val="0"/>
          <w:numId w:val="5"/>
        </w:numPr>
        <w:spacing w:line="240" w:lineRule="auto"/>
        <w:contextualSpacing w:val="0"/>
        <w:rPr>
          <w:szCs w:val="28"/>
        </w:rPr>
      </w:pPr>
      <w:r>
        <w:rPr>
          <w:szCs w:val="28"/>
        </w:rPr>
        <w:t>Зависимость убыточности от времени близка к линейной.</w:t>
      </w:r>
    </w:p>
    <w:p w:rsidR="001B726A" w:rsidRDefault="001B726A" w:rsidP="00961B8D">
      <w:pPr>
        <w:spacing w:line="240" w:lineRule="auto"/>
        <w:ind w:firstLine="0"/>
        <w:rPr>
          <w:szCs w:val="28"/>
        </w:rPr>
      </w:pPr>
    </w:p>
    <w:p w:rsidR="001B726A" w:rsidRDefault="001B726A" w:rsidP="00961B8D">
      <w:pPr>
        <w:spacing w:line="240" w:lineRule="auto"/>
        <w:ind w:firstLine="0"/>
        <w:rPr>
          <w:b/>
          <w:szCs w:val="28"/>
        </w:rPr>
      </w:pPr>
      <w:r>
        <w:rPr>
          <w:szCs w:val="28"/>
        </w:rPr>
        <w:t xml:space="preserve"> </w:t>
      </w:r>
    </w:p>
    <w:p w:rsidR="001B726A" w:rsidRDefault="001B726A" w:rsidP="00961B8D">
      <w:pPr>
        <w:spacing w:line="240" w:lineRule="auto"/>
        <w:ind w:left="708"/>
        <w:rPr>
          <w:szCs w:val="28"/>
        </w:rPr>
      </w:pPr>
      <w:r>
        <w:rPr>
          <w:szCs w:val="28"/>
        </w:rPr>
        <w:t>Расчет нетто-ставки производится в следующей последовательности:</w:t>
      </w:r>
    </w:p>
    <w:p w:rsidR="001B726A" w:rsidRDefault="001B726A" w:rsidP="00961B8D">
      <w:pPr>
        <w:numPr>
          <w:ilvl w:val="1"/>
          <w:numId w:val="5"/>
        </w:numPr>
        <w:spacing w:line="240" w:lineRule="auto"/>
        <w:contextualSpacing w:val="0"/>
        <w:rPr>
          <w:szCs w:val="28"/>
        </w:rPr>
      </w:pPr>
      <w:r>
        <w:rPr>
          <w:szCs w:val="28"/>
        </w:rPr>
        <w:t>По каждому году рассчитывается фактическая убыточность страховой суммы (</w:t>
      </w:r>
      <w:r>
        <w:rPr>
          <w:i/>
          <w:szCs w:val="28"/>
          <w:lang w:val="en-US"/>
        </w:rPr>
        <w:t>Y</w:t>
      </w:r>
      <w:r>
        <w:rPr>
          <w:szCs w:val="28"/>
        </w:rPr>
        <w:t>) как отношение страхового возмещения к общей страховой сумме застрахованных рисков (</w:t>
      </w:r>
      <w:r>
        <w:rPr>
          <w:i/>
          <w:szCs w:val="28"/>
          <w:lang w:val="en-US"/>
        </w:rPr>
        <w:t>S</w:t>
      </w:r>
      <w:r>
        <w:rPr>
          <w:i/>
          <w:szCs w:val="28"/>
          <w:vertAlign w:val="subscript"/>
          <w:lang w:val="en-US"/>
        </w:rPr>
        <w:t>B</w:t>
      </w:r>
      <w:r>
        <w:rPr>
          <w:i/>
          <w:szCs w:val="28"/>
        </w:rPr>
        <w:t>/</w:t>
      </w:r>
      <w:r>
        <w:rPr>
          <w:i/>
          <w:szCs w:val="28"/>
          <w:lang w:val="en-US"/>
        </w:rPr>
        <w:t>S</w:t>
      </w:r>
      <w:r>
        <w:rPr>
          <w:szCs w:val="28"/>
        </w:rPr>
        <w:t>).</w:t>
      </w:r>
    </w:p>
    <w:p w:rsidR="001B726A" w:rsidRDefault="001B726A" w:rsidP="00961B8D">
      <w:pPr>
        <w:numPr>
          <w:ilvl w:val="1"/>
          <w:numId w:val="5"/>
        </w:numPr>
        <w:spacing w:line="240" w:lineRule="auto"/>
        <w:contextualSpacing w:val="0"/>
        <w:rPr>
          <w:szCs w:val="28"/>
        </w:rPr>
      </w:pPr>
      <w:r>
        <w:rPr>
          <w:szCs w:val="28"/>
        </w:rPr>
        <w:t>На основании полученного ряда исходных данных рассчитывается прогнозируемый уровень убыточности страховой суммы, для чего используется модель линейного тренда, согласно которой фактические данные по убыточности страховой суммы выравниваются на основе линейного уравнения</w:t>
      </w:r>
    </w:p>
    <w:p w:rsidR="001B726A" w:rsidRDefault="001B726A" w:rsidP="00961B8D">
      <w:pPr>
        <w:spacing w:line="240" w:lineRule="auto"/>
        <w:ind w:left="1080"/>
        <w:rPr>
          <w:szCs w:val="28"/>
        </w:rPr>
      </w:pPr>
      <w:r>
        <w:rPr>
          <w:szCs w:val="28"/>
        </w:rPr>
        <w:t xml:space="preserve">                                                     </w:t>
      </w:r>
      <w:r>
        <w:rPr>
          <w:position w:val="-12"/>
          <w:szCs w:val="28"/>
        </w:rPr>
        <w:object w:dxaOrig="13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25pt" o:ole="">
            <v:imagedata r:id="rId7" o:title=""/>
          </v:shape>
          <o:OLEObject Type="Embed" ProgID="Equation.3" ShapeID="_x0000_i1025" DrawAspect="Content" ObjectID="_1474375625" r:id="rId8"/>
        </w:object>
      </w:r>
      <w:r>
        <w:rPr>
          <w:szCs w:val="28"/>
        </w:rPr>
        <w:t>,</w:t>
      </w:r>
    </w:p>
    <w:p w:rsidR="001B726A" w:rsidRDefault="001B726A" w:rsidP="00961B8D">
      <w:pPr>
        <w:spacing w:line="240" w:lineRule="auto"/>
        <w:ind w:left="1080"/>
        <w:rPr>
          <w:szCs w:val="28"/>
        </w:rPr>
      </w:pPr>
      <w:r>
        <w:rPr>
          <w:szCs w:val="28"/>
        </w:rPr>
        <w:t xml:space="preserve">где   </w:t>
      </w:r>
      <w:r>
        <w:rPr>
          <w:i/>
          <w:szCs w:val="28"/>
          <w:lang w:val="en-US"/>
        </w:rPr>
        <w:t>Y</w:t>
      </w:r>
      <w:r>
        <w:rPr>
          <w:i/>
          <w:szCs w:val="28"/>
          <w:vertAlign w:val="subscript"/>
          <w:lang w:val="en-US"/>
        </w:rPr>
        <w:t>i</w:t>
      </w:r>
      <w:r>
        <w:rPr>
          <w:i/>
          <w:szCs w:val="28"/>
          <w:vertAlign w:val="superscript"/>
        </w:rPr>
        <w:t>*</w:t>
      </w:r>
      <w:r>
        <w:rPr>
          <w:szCs w:val="28"/>
        </w:rPr>
        <w:t xml:space="preserve"> – выравненный показатель убыточности страховой суммы  </w:t>
      </w:r>
    </w:p>
    <w:p w:rsidR="001B726A" w:rsidRDefault="001B726A" w:rsidP="00961B8D">
      <w:pPr>
        <w:spacing w:line="240" w:lineRule="auto"/>
        <w:ind w:left="1080"/>
        <w:rPr>
          <w:szCs w:val="28"/>
        </w:rPr>
      </w:pPr>
      <w:r>
        <w:rPr>
          <w:szCs w:val="28"/>
        </w:rPr>
        <w:t xml:space="preserve">                 (теоретическая убыточность);</w:t>
      </w:r>
    </w:p>
    <w:p w:rsidR="001B726A" w:rsidRDefault="001B726A" w:rsidP="00961B8D">
      <w:pPr>
        <w:spacing w:line="240" w:lineRule="auto"/>
        <w:ind w:left="1080"/>
        <w:rPr>
          <w:szCs w:val="28"/>
        </w:rPr>
      </w:pPr>
      <w:r>
        <w:rPr>
          <w:szCs w:val="28"/>
        </w:rPr>
        <w:t xml:space="preserve">      </w:t>
      </w:r>
      <w:r>
        <w:rPr>
          <w:position w:val="-12"/>
          <w:szCs w:val="28"/>
        </w:rPr>
        <w:object w:dxaOrig="580" w:dyaOrig="360">
          <v:shape id="_x0000_i1026" type="#_x0000_t75" style="width:29.25pt;height:18pt" o:ole="">
            <v:imagedata r:id="rId9" o:title=""/>
          </v:shape>
          <o:OLEObject Type="Embed" ProgID="Equation.3" ShapeID="_x0000_i1026" DrawAspect="Content" ObjectID="_1474375626" r:id="rId10"/>
        </w:object>
      </w:r>
      <w:r>
        <w:rPr>
          <w:szCs w:val="28"/>
        </w:rPr>
        <w:t>– параметры линейного тренда;</w:t>
      </w:r>
    </w:p>
    <w:p w:rsidR="001B726A" w:rsidRDefault="001B726A" w:rsidP="00961B8D">
      <w:pPr>
        <w:spacing w:line="240" w:lineRule="auto"/>
        <w:ind w:left="1080"/>
        <w:rPr>
          <w:szCs w:val="28"/>
        </w:rPr>
      </w:pPr>
      <w:r>
        <w:rPr>
          <w:i/>
          <w:szCs w:val="28"/>
        </w:rPr>
        <w:t xml:space="preserve">            </w:t>
      </w:r>
      <w:r>
        <w:rPr>
          <w:i/>
          <w:szCs w:val="28"/>
          <w:lang w:val="en-US"/>
        </w:rPr>
        <w:t>i</w:t>
      </w:r>
      <w:r>
        <w:rPr>
          <w:szCs w:val="28"/>
        </w:rPr>
        <w:t xml:space="preserve"> – порядковый номер соответствующего года. </w:t>
      </w:r>
    </w:p>
    <w:p w:rsidR="001B726A" w:rsidRDefault="001B726A" w:rsidP="00961B8D">
      <w:pPr>
        <w:spacing w:line="240" w:lineRule="auto"/>
        <w:ind w:left="1080"/>
        <w:rPr>
          <w:szCs w:val="28"/>
        </w:rPr>
      </w:pPr>
    </w:p>
    <w:p w:rsidR="001B726A" w:rsidRDefault="001B726A" w:rsidP="00961B8D">
      <w:pPr>
        <w:spacing w:line="240" w:lineRule="auto"/>
        <w:rPr>
          <w:szCs w:val="28"/>
        </w:rPr>
      </w:pPr>
      <w:r>
        <w:rPr>
          <w:szCs w:val="28"/>
        </w:rPr>
        <w:tab/>
        <w:t>Параметры линейного тренда можно определить методом наименьших квадратов, решив следующую систему уравнений с двумя неизвестными</w:t>
      </w:r>
    </w:p>
    <w:p w:rsidR="001B726A" w:rsidRDefault="001B726A" w:rsidP="00961B8D">
      <w:pPr>
        <w:spacing w:line="240" w:lineRule="auto"/>
        <w:rPr>
          <w:szCs w:val="28"/>
        </w:rPr>
      </w:pPr>
      <w:r>
        <w:rPr>
          <w:szCs w:val="28"/>
        </w:rPr>
        <w:t xml:space="preserve">                                                  </w:t>
      </w:r>
      <w:r>
        <w:rPr>
          <w:position w:val="-28"/>
          <w:szCs w:val="28"/>
        </w:rPr>
        <w:object w:dxaOrig="2079" w:dyaOrig="680">
          <v:shape id="_x0000_i1027" type="#_x0000_t75" style="width:104.25pt;height:33.75pt" o:ole="">
            <v:imagedata r:id="rId11" o:title=""/>
          </v:shape>
          <o:OLEObject Type="Embed" ProgID="Equation.3" ShapeID="_x0000_i1027" DrawAspect="Content" ObjectID="_1474375627" r:id="rId12"/>
        </w:object>
      </w:r>
      <w:r>
        <w:rPr>
          <w:szCs w:val="28"/>
        </w:rPr>
        <w:t>,</w:t>
      </w:r>
    </w:p>
    <w:p w:rsidR="001B726A" w:rsidRDefault="001B726A" w:rsidP="00961B8D">
      <w:pPr>
        <w:spacing w:line="240" w:lineRule="auto"/>
        <w:rPr>
          <w:szCs w:val="28"/>
        </w:rPr>
      </w:pPr>
      <w:r>
        <w:rPr>
          <w:szCs w:val="28"/>
        </w:rPr>
        <w:t xml:space="preserve">                                               </w:t>
      </w:r>
      <w:r>
        <w:rPr>
          <w:position w:val="-28"/>
          <w:szCs w:val="28"/>
        </w:rPr>
        <w:object w:dxaOrig="2520" w:dyaOrig="680">
          <v:shape id="_x0000_i1028" type="#_x0000_t75" style="width:126pt;height:33.75pt" o:ole="">
            <v:imagedata r:id="rId13" o:title=""/>
          </v:shape>
          <o:OLEObject Type="Embed" ProgID="Equation.3" ShapeID="_x0000_i1028" DrawAspect="Content" ObjectID="_1474375628" r:id="rId14"/>
        </w:object>
      </w:r>
      <w:r>
        <w:rPr>
          <w:szCs w:val="28"/>
        </w:rPr>
        <w:t>,</w:t>
      </w:r>
    </w:p>
    <w:p w:rsidR="001B726A" w:rsidRDefault="001B726A" w:rsidP="00961B8D">
      <w:pPr>
        <w:spacing w:line="240" w:lineRule="auto"/>
        <w:rPr>
          <w:szCs w:val="28"/>
        </w:rPr>
      </w:pPr>
      <w:r>
        <w:rPr>
          <w:szCs w:val="28"/>
        </w:rPr>
        <w:tab/>
        <w:t xml:space="preserve">где    </w:t>
      </w:r>
      <w:r>
        <w:rPr>
          <w:i/>
          <w:szCs w:val="28"/>
          <w:lang w:val="en-US"/>
        </w:rPr>
        <w:t>n</w:t>
      </w:r>
      <w:r>
        <w:rPr>
          <w:szCs w:val="28"/>
        </w:rPr>
        <w:t xml:space="preserve"> – число анализируемых лет.</w:t>
      </w:r>
    </w:p>
    <w:p w:rsidR="001B726A" w:rsidRDefault="001B726A" w:rsidP="00961B8D">
      <w:pPr>
        <w:spacing w:line="240" w:lineRule="auto"/>
        <w:rPr>
          <w:szCs w:val="28"/>
        </w:rPr>
      </w:pPr>
    </w:p>
    <w:p w:rsidR="001B726A" w:rsidRDefault="001B726A" w:rsidP="00961B8D">
      <w:pPr>
        <w:rPr>
          <w:szCs w:val="28"/>
        </w:rPr>
      </w:pPr>
      <w:r>
        <w:rPr>
          <w:szCs w:val="28"/>
        </w:rPr>
        <w:t>Рассчитанный уровень убыточности представляет собой основную часть нетто-ставки.</w:t>
      </w:r>
    </w:p>
    <w:p w:rsidR="001B726A" w:rsidRDefault="001B726A" w:rsidP="00961B8D">
      <w:pPr>
        <w:numPr>
          <w:ilvl w:val="1"/>
          <w:numId w:val="5"/>
        </w:numPr>
        <w:spacing w:line="240" w:lineRule="auto"/>
        <w:contextualSpacing w:val="0"/>
        <w:rPr>
          <w:szCs w:val="28"/>
        </w:rPr>
      </w:pPr>
      <w:r>
        <w:rPr>
          <w:szCs w:val="28"/>
        </w:rPr>
        <w:t>Для определения рисковой надбавки необходимо по следующей формуле рассчитать среднее квадратическое отклонение фактических значений убыточности от выравненных значений</w:t>
      </w:r>
    </w:p>
    <w:p w:rsidR="001B726A" w:rsidRDefault="001B726A" w:rsidP="00961B8D">
      <w:pPr>
        <w:rPr>
          <w:szCs w:val="28"/>
        </w:rPr>
      </w:pPr>
    </w:p>
    <w:p w:rsidR="001B726A" w:rsidRDefault="001B726A" w:rsidP="00961B8D">
      <w:pPr>
        <w:rPr>
          <w:szCs w:val="28"/>
        </w:rPr>
      </w:pPr>
      <w:r>
        <w:rPr>
          <w:szCs w:val="28"/>
        </w:rPr>
        <w:t xml:space="preserve">                                                       </w:t>
      </w:r>
      <w:r>
        <w:rPr>
          <w:position w:val="-26"/>
          <w:szCs w:val="28"/>
        </w:rPr>
        <w:object w:dxaOrig="1980" w:dyaOrig="1020">
          <v:shape id="_x0000_i1029" type="#_x0000_t75" style="width:99pt;height:51pt" o:ole="">
            <v:imagedata r:id="rId15" o:title=""/>
          </v:shape>
          <o:OLEObject Type="Embed" ProgID="Equation.3" ShapeID="_x0000_i1029" DrawAspect="Content" ObjectID="_1474375629" r:id="rId16"/>
        </w:object>
      </w:r>
      <w:r>
        <w:rPr>
          <w:szCs w:val="28"/>
        </w:rPr>
        <w:t>,</w:t>
      </w:r>
    </w:p>
    <w:p w:rsidR="001B726A" w:rsidRDefault="001B726A" w:rsidP="00961B8D">
      <w:pPr>
        <w:spacing w:line="240" w:lineRule="auto"/>
        <w:rPr>
          <w:szCs w:val="28"/>
        </w:rPr>
      </w:pPr>
      <w:r>
        <w:rPr>
          <w:szCs w:val="28"/>
        </w:rPr>
        <w:tab/>
        <w:t xml:space="preserve">где </w:t>
      </w:r>
      <w:r>
        <w:rPr>
          <w:position w:val="-6"/>
          <w:szCs w:val="28"/>
        </w:rPr>
        <w:object w:dxaOrig="240" w:dyaOrig="220">
          <v:shape id="_x0000_i1030" type="#_x0000_t75" style="width:12pt;height:11.25pt" o:ole="">
            <v:imagedata r:id="rId17" o:title=""/>
          </v:shape>
          <o:OLEObject Type="Embed" ProgID="Equation.3" ShapeID="_x0000_i1030" DrawAspect="Content" ObjectID="_1474375630" r:id="rId18"/>
        </w:object>
      </w:r>
      <w:r>
        <w:rPr>
          <w:szCs w:val="28"/>
        </w:rPr>
        <w:t xml:space="preserve">– среднеквадратическое отклонение фактических значений  </w:t>
      </w:r>
    </w:p>
    <w:p w:rsidR="001B726A" w:rsidRDefault="001B726A" w:rsidP="00961B8D">
      <w:pPr>
        <w:spacing w:line="240" w:lineRule="auto"/>
        <w:rPr>
          <w:szCs w:val="28"/>
        </w:rPr>
      </w:pPr>
      <w:r>
        <w:rPr>
          <w:szCs w:val="28"/>
        </w:rPr>
        <w:t xml:space="preserve">                      убыточности от выравненных значений. </w:t>
      </w:r>
    </w:p>
    <w:p w:rsidR="001B726A" w:rsidRDefault="001B726A" w:rsidP="00961B8D">
      <w:pPr>
        <w:numPr>
          <w:ilvl w:val="1"/>
          <w:numId w:val="5"/>
        </w:numPr>
        <w:spacing w:line="240" w:lineRule="auto"/>
        <w:contextualSpacing w:val="0"/>
        <w:rPr>
          <w:szCs w:val="28"/>
        </w:rPr>
      </w:pPr>
      <w:r>
        <w:rPr>
          <w:szCs w:val="28"/>
        </w:rPr>
        <w:t>Нетто-ставка рассчитывается следующим образом</w:t>
      </w:r>
    </w:p>
    <w:p w:rsidR="001B726A" w:rsidRDefault="001B726A" w:rsidP="00961B8D">
      <w:pPr>
        <w:spacing w:line="240" w:lineRule="auto"/>
        <w:rPr>
          <w:szCs w:val="28"/>
        </w:rPr>
      </w:pPr>
      <w:r>
        <w:rPr>
          <w:szCs w:val="28"/>
        </w:rPr>
        <w:t xml:space="preserve">                                                      </w:t>
      </w:r>
      <w:r>
        <w:rPr>
          <w:position w:val="-12"/>
          <w:szCs w:val="28"/>
        </w:rPr>
        <w:object w:dxaOrig="2020" w:dyaOrig="400">
          <v:shape id="_x0000_i1031" type="#_x0000_t75" style="width:101.25pt;height:20.25pt" o:ole="">
            <v:imagedata r:id="rId19" o:title=""/>
          </v:shape>
          <o:OLEObject Type="Embed" ProgID="Equation.3" ShapeID="_x0000_i1031" DrawAspect="Content" ObjectID="_1474375631" r:id="rId20"/>
        </w:object>
      </w:r>
      <w:r>
        <w:rPr>
          <w:szCs w:val="28"/>
        </w:rPr>
        <w:t>,</w:t>
      </w:r>
    </w:p>
    <w:p w:rsidR="001B726A" w:rsidRDefault="001B726A" w:rsidP="00961B8D">
      <w:pPr>
        <w:spacing w:line="240" w:lineRule="auto"/>
        <w:rPr>
          <w:szCs w:val="28"/>
        </w:rPr>
      </w:pPr>
      <w:r>
        <w:rPr>
          <w:szCs w:val="28"/>
        </w:rPr>
        <w:tab/>
        <w:t xml:space="preserve">где           </w:t>
      </w:r>
      <w:r>
        <w:rPr>
          <w:i/>
          <w:szCs w:val="28"/>
        </w:rPr>
        <w:t>Т</w:t>
      </w:r>
      <w:r>
        <w:rPr>
          <w:i/>
          <w:szCs w:val="28"/>
          <w:vertAlign w:val="subscript"/>
          <w:lang w:val="en-US"/>
        </w:rPr>
        <w:t>n</w:t>
      </w:r>
      <w:r>
        <w:rPr>
          <w:szCs w:val="28"/>
        </w:rPr>
        <w:t xml:space="preserve"> – нетто-ставка;</w:t>
      </w:r>
    </w:p>
    <w:p w:rsidR="001B726A" w:rsidRDefault="001B726A" w:rsidP="00961B8D">
      <w:pPr>
        <w:spacing w:line="240" w:lineRule="auto"/>
        <w:rPr>
          <w:szCs w:val="28"/>
        </w:rPr>
      </w:pPr>
      <w:r>
        <w:rPr>
          <w:szCs w:val="28"/>
        </w:rPr>
        <w:t xml:space="preserve">  </w:t>
      </w:r>
      <w:r>
        <w:rPr>
          <w:position w:val="-10"/>
          <w:szCs w:val="28"/>
        </w:rPr>
        <w:object w:dxaOrig="760" w:dyaOrig="320">
          <v:shape id="_x0000_i1032" type="#_x0000_t75" style="width:38.25pt;height:15.75pt" o:ole="">
            <v:imagedata r:id="rId21" o:title=""/>
          </v:shape>
          <o:OLEObject Type="Embed" ProgID="Equation.3" ShapeID="_x0000_i1032" DrawAspect="Content" ObjectID="_1474375632" r:id="rId22"/>
        </w:object>
      </w:r>
      <w:r>
        <w:rPr>
          <w:szCs w:val="28"/>
        </w:rPr>
        <w:t xml:space="preserve">– коэффициент, используемый для исчисления размера                  </w:t>
      </w:r>
    </w:p>
    <w:p w:rsidR="001B726A" w:rsidRDefault="001B726A" w:rsidP="00961B8D">
      <w:pPr>
        <w:spacing w:line="240" w:lineRule="auto"/>
        <w:rPr>
          <w:szCs w:val="28"/>
        </w:rPr>
      </w:pPr>
      <w:r>
        <w:rPr>
          <w:szCs w:val="28"/>
        </w:rPr>
        <w:t xml:space="preserve">рисковой надбавки.                                 </w:t>
      </w:r>
    </w:p>
    <w:p w:rsidR="001B726A" w:rsidRDefault="001B726A" w:rsidP="00961B8D">
      <w:pPr>
        <w:spacing w:line="240" w:lineRule="auto"/>
        <w:rPr>
          <w:szCs w:val="28"/>
        </w:rPr>
      </w:pPr>
      <w:r>
        <w:rPr>
          <w:szCs w:val="28"/>
        </w:rPr>
        <w:tab/>
        <w:t xml:space="preserve">Величина </w:t>
      </w:r>
      <w:r>
        <w:rPr>
          <w:position w:val="-10"/>
          <w:szCs w:val="28"/>
        </w:rPr>
        <w:object w:dxaOrig="760" w:dyaOrig="320">
          <v:shape id="_x0000_i1033" type="#_x0000_t75" style="width:38.25pt;height:15.75pt" o:ole="">
            <v:imagedata r:id="rId23" o:title=""/>
          </v:shape>
          <o:OLEObject Type="Embed" ProgID="Equation.3" ShapeID="_x0000_i1033" DrawAspect="Content" ObjectID="_1474375633" r:id="rId24"/>
        </w:object>
      </w:r>
      <w:r>
        <w:rPr>
          <w:szCs w:val="28"/>
        </w:rPr>
        <w:t xml:space="preserve">зависит от заданной гарантии безопасности </w:t>
      </w:r>
      <w:r>
        <w:rPr>
          <w:position w:val="-10"/>
          <w:szCs w:val="28"/>
        </w:rPr>
        <w:object w:dxaOrig="200" w:dyaOrig="260">
          <v:shape id="_x0000_i1034" type="#_x0000_t75" style="width:9.75pt;height:12.75pt" o:ole="">
            <v:imagedata r:id="rId25" o:title=""/>
          </v:shape>
          <o:OLEObject Type="Embed" ProgID="Equation.3" ShapeID="_x0000_i1034" DrawAspect="Content" ObjectID="_1474375634" r:id="rId26"/>
        </w:object>
      </w:r>
      <w:r>
        <w:rPr>
          <w:szCs w:val="28"/>
        </w:rPr>
        <w:t xml:space="preserve"> (той вероятности, с которой собранных взносов хватит на выплаты страховых возмещений) и </w:t>
      </w:r>
      <w:r>
        <w:rPr>
          <w:i/>
          <w:szCs w:val="28"/>
          <w:lang w:val="en-US"/>
        </w:rPr>
        <w:t>n</w:t>
      </w:r>
      <w:r>
        <w:rPr>
          <w:szCs w:val="28"/>
        </w:rPr>
        <w:t>-го числа анализируемых лет, и может быть взята из таблицы 11.</w:t>
      </w:r>
      <w:r>
        <w:rPr>
          <w:szCs w:val="28"/>
        </w:rPr>
        <w:tab/>
      </w:r>
    </w:p>
    <w:p w:rsidR="001B726A" w:rsidRDefault="001B726A" w:rsidP="00961B8D">
      <w:pPr>
        <w:spacing w:line="240" w:lineRule="auto"/>
        <w:rPr>
          <w:szCs w:val="28"/>
        </w:rPr>
      </w:pPr>
      <w:r>
        <w:rPr>
          <w:szCs w:val="28"/>
        </w:rPr>
        <w:t xml:space="preserve">         </w:t>
      </w:r>
    </w:p>
    <w:p w:rsidR="001B726A" w:rsidRDefault="001B726A" w:rsidP="00961B8D">
      <w:pPr>
        <w:spacing w:line="240" w:lineRule="auto"/>
        <w:rPr>
          <w:szCs w:val="28"/>
        </w:rPr>
      </w:pPr>
    </w:p>
    <w:p w:rsidR="001B726A" w:rsidRDefault="001B726A" w:rsidP="00961B8D">
      <w:pPr>
        <w:spacing w:line="240" w:lineRule="auto"/>
        <w:rPr>
          <w:szCs w:val="28"/>
        </w:rPr>
      </w:pPr>
    </w:p>
    <w:p w:rsidR="001B726A" w:rsidRDefault="001B726A" w:rsidP="00961B8D">
      <w:pPr>
        <w:spacing w:line="240" w:lineRule="auto"/>
        <w:rPr>
          <w:szCs w:val="28"/>
        </w:rPr>
      </w:pPr>
    </w:p>
    <w:p w:rsidR="001B726A" w:rsidRDefault="001B726A" w:rsidP="00961B8D">
      <w:pPr>
        <w:spacing w:line="240" w:lineRule="auto"/>
        <w:rPr>
          <w:szCs w:val="28"/>
        </w:rPr>
      </w:pPr>
    </w:p>
    <w:p w:rsidR="001B726A" w:rsidRDefault="001B726A" w:rsidP="00961B8D">
      <w:pPr>
        <w:spacing w:line="240" w:lineRule="auto"/>
        <w:rPr>
          <w:szCs w:val="28"/>
        </w:rPr>
      </w:pPr>
    </w:p>
    <w:p w:rsidR="001B726A" w:rsidRDefault="001B726A" w:rsidP="00961B8D">
      <w:pPr>
        <w:spacing w:line="240" w:lineRule="auto"/>
        <w:rPr>
          <w:szCs w:val="28"/>
        </w:rPr>
      </w:pPr>
      <w:r>
        <w:rPr>
          <w:szCs w:val="28"/>
        </w:rPr>
        <w:t xml:space="preserve"> Таблица 11 – Значения коэффициента </w:t>
      </w:r>
      <w:r>
        <w:rPr>
          <w:position w:val="-10"/>
          <w:szCs w:val="28"/>
        </w:rPr>
        <w:object w:dxaOrig="240" w:dyaOrig="320">
          <v:shape id="_x0000_i1035" type="#_x0000_t75" style="width:12pt;height:15.75pt" o:ole="">
            <v:imagedata r:id="rId27" o:title=""/>
          </v:shape>
          <o:OLEObject Type="Embed" ProgID="Equation.3" ShapeID="_x0000_i1035" DrawAspect="Content" ObjectID="_1474375635" r:id="rId28"/>
        </w:object>
      </w: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
        <w:gridCol w:w="1563"/>
        <w:gridCol w:w="1563"/>
        <w:gridCol w:w="1695"/>
        <w:gridCol w:w="1695"/>
        <w:gridCol w:w="1695"/>
      </w:tblGrid>
      <w:tr w:rsidR="001B726A" w:rsidTr="00961B8D">
        <w:tc>
          <w:tcPr>
            <w:tcW w:w="1641" w:type="dxa"/>
          </w:tcPr>
          <w:p w:rsidR="001B726A" w:rsidRDefault="001B726A">
            <w:pPr>
              <w:jc w:val="center"/>
              <w:rPr>
                <w:i/>
                <w:szCs w:val="28"/>
                <w:lang w:val="en-US"/>
              </w:rPr>
            </w:pPr>
            <w:r>
              <w:rPr>
                <w:i/>
                <w:szCs w:val="28"/>
                <w:lang w:val="en-US"/>
              </w:rPr>
              <w:t>n</w:t>
            </w:r>
            <w:r>
              <w:rPr>
                <w:i/>
                <w:szCs w:val="28"/>
              </w:rPr>
              <w:t>,</w:t>
            </w:r>
            <w:r>
              <w:rPr>
                <w:position w:val="-10"/>
                <w:szCs w:val="28"/>
              </w:rPr>
              <w:object w:dxaOrig="200" w:dyaOrig="260">
                <v:shape id="_x0000_i1036" type="#_x0000_t75" style="width:9.75pt;height:12.75pt" o:ole="">
                  <v:imagedata r:id="rId29" o:title=""/>
                </v:shape>
                <o:OLEObject Type="Embed" ProgID="Equation.3" ShapeID="_x0000_i1036" DrawAspect="Content" ObjectID="_1474375636" r:id="rId30"/>
              </w:object>
            </w:r>
          </w:p>
        </w:tc>
        <w:tc>
          <w:tcPr>
            <w:tcW w:w="1641" w:type="dxa"/>
          </w:tcPr>
          <w:p w:rsidR="001B726A" w:rsidRDefault="001B726A">
            <w:pPr>
              <w:jc w:val="center"/>
              <w:rPr>
                <w:szCs w:val="28"/>
                <w:lang w:val="en-US"/>
              </w:rPr>
            </w:pPr>
            <w:r>
              <w:rPr>
                <w:szCs w:val="28"/>
                <w:lang w:val="en-US"/>
              </w:rPr>
              <w:t>0</w:t>
            </w:r>
            <w:r>
              <w:rPr>
                <w:szCs w:val="28"/>
              </w:rPr>
              <w:t>,</w:t>
            </w:r>
            <w:r>
              <w:rPr>
                <w:szCs w:val="28"/>
                <w:lang w:val="en-US"/>
              </w:rPr>
              <w:t>8</w:t>
            </w:r>
          </w:p>
        </w:tc>
        <w:tc>
          <w:tcPr>
            <w:tcW w:w="1641" w:type="dxa"/>
          </w:tcPr>
          <w:p w:rsidR="001B726A" w:rsidRDefault="001B726A">
            <w:pPr>
              <w:jc w:val="center"/>
              <w:rPr>
                <w:szCs w:val="28"/>
              </w:rPr>
            </w:pPr>
            <w:r>
              <w:rPr>
                <w:szCs w:val="28"/>
              </w:rPr>
              <w:t>0,9</w:t>
            </w:r>
          </w:p>
        </w:tc>
        <w:tc>
          <w:tcPr>
            <w:tcW w:w="1641" w:type="dxa"/>
          </w:tcPr>
          <w:p w:rsidR="001B726A" w:rsidRDefault="001B726A">
            <w:pPr>
              <w:jc w:val="center"/>
              <w:rPr>
                <w:szCs w:val="28"/>
              </w:rPr>
            </w:pPr>
            <w:r>
              <w:rPr>
                <w:szCs w:val="28"/>
              </w:rPr>
              <w:t>0,95</w:t>
            </w:r>
          </w:p>
        </w:tc>
        <w:tc>
          <w:tcPr>
            <w:tcW w:w="1641" w:type="dxa"/>
          </w:tcPr>
          <w:p w:rsidR="001B726A" w:rsidRDefault="001B726A">
            <w:pPr>
              <w:jc w:val="center"/>
              <w:rPr>
                <w:szCs w:val="28"/>
              </w:rPr>
            </w:pPr>
            <w:r>
              <w:rPr>
                <w:szCs w:val="28"/>
              </w:rPr>
              <w:t>0,975</w:t>
            </w:r>
          </w:p>
        </w:tc>
        <w:tc>
          <w:tcPr>
            <w:tcW w:w="1641" w:type="dxa"/>
          </w:tcPr>
          <w:p w:rsidR="001B726A" w:rsidRDefault="001B726A">
            <w:pPr>
              <w:jc w:val="center"/>
              <w:rPr>
                <w:szCs w:val="28"/>
              </w:rPr>
            </w:pPr>
            <w:r>
              <w:rPr>
                <w:szCs w:val="28"/>
              </w:rPr>
              <w:t>0,99</w:t>
            </w:r>
          </w:p>
        </w:tc>
      </w:tr>
      <w:tr w:rsidR="001B726A" w:rsidTr="00961B8D">
        <w:tc>
          <w:tcPr>
            <w:tcW w:w="1641" w:type="dxa"/>
          </w:tcPr>
          <w:p w:rsidR="001B726A" w:rsidRDefault="001B726A">
            <w:pPr>
              <w:jc w:val="center"/>
              <w:rPr>
                <w:szCs w:val="28"/>
              </w:rPr>
            </w:pPr>
            <w:r>
              <w:rPr>
                <w:szCs w:val="28"/>
              </w:rPr>
              <w:t>3</w:t>
            </w:r>
          </w:p>
        </w:tc>
        <w:tc>
          <w:tcPr>
            <w:tcW w:w="1641" w:type="dxa"/>
          </w:tcPr>
          <w:p w:rsidR="001B726A" w:rsidRDefault="001B726A">
            <w:pPr>
              <w:jc w:val="center"/>
              <w:rPr>
                <w:szCs w:val="28"/>
              </w:rPr>
            </w:pPr>
            <w:r>
              <w:rPr>
                <w:szCs w:val="28"/>
              </w:rPr>
              <w:t>2,972</w:t>
            </w:r>
          </w:p>
        </w:tc>
        <w:tc>
          <w:tcPr>
            <w:tcW w:w="1641" w:type="dxa"/>
          </w:tcPr>
          <w:p w:rsidR="001B726A" w:rsidRDefault="001B726A">
            <w:pPr>
              <w:jc w:val="center"/>
              <w:rPr>
                <w:szCs w:val="28"/>
              </w:rPr>
            </w:pPr>
            <w:r>
              <w:rPr>
                <w:szCs w:val="28"/>
              </w:rPr>
              <w:t>6,649</w:t>
            </w:r>
          </w:p>
        </w:tc>
        <w:tc>
          <w:tcPr>
            <w:tcW w:w="1641" w:type="dxa"/>
          </w:tcPr>
          <w:p w:rsidR="001B726A" w:rsidRDefault="001B726A">
            <w:pPr>
              <w:jc w:val="center"/>
              <w:rPr>
                <w:szCs w:val="28"/>
              </w:rPr>
            </w:pPr>
            <w:r>
              <w:rPr>
                <w:szCs w:val="28"/>
              </w:rPr>
              <w:t>13,640</w:t>
            </w:r>
          </w:p>
        </w:tc>
        <w:tc>
          <w:tcPr>
            <w:tcW w:w="1641" w:type="dxa"/>
          </w:tcPr>
          <w:p w:rsidR="001B726A" w:rsidRDefault="001B726A">
            <w:pPr>
              <w:jc w:val="center"/>
              <w:rPr>
                <w:szCs w:val="28"/>
              </w:rPr>
            </w:pPr>
            <w:r>
              <w:rPr>
                <w:szCs w:val="28"/>
              </w:rPr>
              <w:t>27,448</w:t>
            </w:r>
          </w:p>
        </w:tc>
        <w:tc>
          <w:tcPr>
            <w:tcW w:w="1641" w:type="dxa"/>
          </w:tcPr>
          <w:p w:rsidR="001B726A" w:rsidRDefault="001B726A">
            <w:pPr>
              <w:jc w:val="center"/>
              <w:rPr>
                <w:szCs w:val="28"/>
              </w:rPr>
            </w:pPr>
            <w:r>
              <w:rPr>
                <w:szCs w:val="28"/>
              </w:rPr>
              <w:t>68,740</w:t>
            </w:r>
          </w:p>
        </w:tc>
      </w:tr>
      <w:tr w:rsidR="001B726A" w:rsidTr="00961B8D">
        <w:tc>
          <w:tcPr>
            <w:tcW w:w="1641" w:type="dxa"/>
          </w:tcPr>
          <w:p w:rsidR="001B726A" w:rsidRDefault="001B726A">
            <w:pPr>
              <w:jc w:val="center"/>
              <w:rPr>
                <w:szCs w:val="28"/>
              </w:rPr>
            </w:pPr>
            <w:r>
              <w:rPr>
                <w:szCs w:val="28"/>
              </w:rPr>
              <w:t>4</w:t>
            </w:r>
          </w:p>
        </w:tc>
        <w:tc>
          <w:tcPr>
            <w:tcW w:w="1641" w:type="dxa"/>
          </w:tcPr>
          <w:p w:rsidR="001B726A" w:rsidRDefault="001B726A">
            <w:pPr>
              <w:jc w:val="center"/>
              <w:rPr>
                <w:szCs w:val="28"/>
              </w:rPr>
            </w:pPr>
            <w:r>
              <w:rPr>
                <w:szCs w:val="28"/>
              </w:rPr>
              <w:t>1,592</w:t>
            </w:r>
          </w:p>
        </w:tc>
        <w:tc>
          <w:tcPr>
            <w:tcW w:w="1641" w:type="dxa"/>
          </w:tcPr>
          <w:p w:rsidR="001B726A" w:rsidRDefault="001B726A">
            <w:pPr>
              <w:jc w:val="center"/>
              <w:rPr>
                <w:szCs w:val="28"/>
              </w:rPr>
            </w:pPr>
            <w:r>
              <w:rPr>
                <w:szCs w:val="28"/>
              </w:rPr>
              <w:t>2,829</w:t>
            </w:r>
          </w:p>
        </w:tc>
        <w:tc>
          <w:tcPr>
            <w:tcW w:w="1641" w:type="dxa"/>
          </w:tcPr>
          <w:p w:rsidR="001B726A" w:rsidRDefault="001B726A">
            <w:pPr>
              <w:jc w:val="center"/>
              <w:rPr>
                <w:szCs w:val="28"/>
              </w:rPr>
            </w:pPr>
            <w:r>
              <w:rPr>
                <w:szCs w:val="28"/>
              </w:rPr>
              <w:t>4,380</w:t>
            </w:r>
          </w:p>
        </w:tc>
        <w:tc>
          <w:tcPr>
            <w:tcW w:w="1641" w:type="dxa"/>
          </w:tcPr>
          <w:p w:rsidR="001B726A" w:rsidRDefault="001B726A">
            <w:pPr>
              <w:jc w:val="center"/>
              <w:rPr>
                <w:szCs w:val="28"/>
              </w:rPr>
            </w:pPr>
            <w:r>
              <w:rPr>
                <w:szCs w:val="28"/>
              </w:rPr>
              <w:t>6,455</w:t>
            </w:r>
          </w:p>
        </w:tc>
        <w:tc>
          <w:tcPr>
            <w:tcW w:w="1641" w:type="dxa"/>
          </w:tcPr>
          <w:p w:rsidR="001B726A" w:rsidRDefault="001B726A">
            <w:pPr>
              <w:jc w:val="center"/>
              <w:rPr>
                <w:szCs w:val="28"/>
              </w:rPr>
            </w:pPr>
            <w:r>
              <w:rPr>
                <w:szCs w:val="28"/>
              </w:rPr>
              <w:t>10,448</w:t>
            </w:r>
          </w:p>
        </w:tc>
      </w:tr>
      <w:tr w:rsidR="001B726A" w:rsidTr="00961B8D">
        <w:tc>
          <w:tcPr>
            <w:tcW w:w="1641" w:type="dxa"/>
          </w:tcPr>
          <w:p w:rsidR="001B726A" w:rsidRDefault="001B726A">
            <w:pPr>
              <w:jc w:val="center"/>
              <w:rPr>
                <w:szCs w:val="28"/>
              </w:rPr>
            </w:pPr>
            <w:r>
              <w:rPr>
                <w:szCs w:val="28"/>
              </w:rPr>
              <w:t>5</w:t>
            </w:r>
          </w:p>
        </w:tc>
        <w:tc>
          <w:tcPr>
            <w:tcW w:w="1641" w:type="dxa"/>
          </w:tcPr>
          <w:p w:rsidR="001B726A" w:rsidRDefault="001B726A">
            <w:pPr>
              <w:jc w:val="center"/>
              <w:rPr>
                <w:szCs w:val="28"/>
              </w:rPr>
            </w:pPr>
            <w:r>
              <w:rPr>
                <w:szCs w:val="28"/>
              </w:rPr>
              <w:t>1,184</w:t>
            </w:r>
          </w:p>
        </w:tc>
        <w:tc>
          <w:tcPr>
            <w:tcW w:w="1641" w:type="dxa"/>
          </w:tcPr>
          <w:p w:rsidR="001B726A" w:rsidRDefault="001B726A">
            <w:pPr>
              <w:jc w:val="center"/>
              <w:rPr>
                <w:szCs w:val="28"/>
              </w:rPr>
            </w:pPr>
            <w:r>
              <w:rPr>
                <w:szCs w:val="28"/>
              </w:rPr>
              <w:t>1,984</w:t>
            </w:r>
          </w:p>
        </w:tc>
        <w:tc>
          <w:tcPr>
            <w:tcW w:w="1641" w:type="dxa"/>
          </w:tcPr>
          <w:p w:rsidR="001B726A" w:rsidRDefault="001B726A">
            <w:pPr>
              <w:jc w:val="center"/>
              <w:rPr>
                <w:szCs w:val="28"/>
              </w:rPr>
            </w:pPr>
            <w:r>
              <w:rPr>
                <w:szCs w:val="28"/>
              </w:rPr>
              <w:t>2,850</w:t>
            </w:r>
          </w:p>
        </w:tc>
        <w:tc>
          <w:tcPr>
            <w:tcW w:w="1641" w:type="dxa"/>
          </w:tcPr>
          <w:p w:rsidR="001B726A" w:rsidRDefault="001B726A">
            <w:pPr>
              <w:jc w:val="center"/>
              <w:rPr>
                <w:szCs w:val="28"/>
              </w:rPr>
            </w:pPr>
            <w:r>
              <w:rPr>
                <w:szCs w:val="28"/>
              </w:rPr>
              <w:t>3,854</w:t>
            </w:r>
          </w:p>
        </w:tc>
        <w:tc>
          <w:tcPr>
            <w:tcW w:w="1641" w:type="dxa"/>
          </w:tcPr>
          <w:p w:rsidR="001B726A" w:rsidRDefault="001B726A">
            <w:pPr>
              <w:jc w:val="center"/>
              <w:rPr>
                <w:szCs w:val="28"/>
              </w:rPr>
            </w:pPr>
            <w:r>
              <w:rPr>
                <w:szCs w:val="28"/>
              </w:rPr>
              <w:t>5,500</w:t>
            </w:r>
          </w:p>
        </w:tc>
      </w:tr>
      <w:tr w:rsidR="001B726A" w:rsidTr="00961B8D">
        <w:tc>
          <w:tcPr>
            <w:tcW w:w="1641" w:type="dxa"/>
          </w:tcPr>
          <w:p w:rsidR="001B726A" w:rsidRDefault="001B726A">
            <w:pPr>
              <w:jc w:val="center"/>
              <w:rPr>
                <w:szCs w:val="28"/>
              </w:rPr>
            </w:pPr>
            <w:r>
              <w:rPr>
                <w:szCs w:val="28"/>
              </w:rPr>
              <w:t>6</w:t>
            </w:r>
          </w:p>
        </w:tc>
        <w:tc>
          <w:tcPr>
            <w:tcW w:w="1641" w:type="dxa"/>
          </w:tcPr>
          <w:p w:rsidR="001B726A" w:rsidRDefault="001B726A">
            <w:pPr>
              <w:jc w:val="center"/>
              <w:rPr>
                <w:szCs w:val="28"/>
              </w:rPr>
            </w:pPr>
            <w:r>
              <w:rPr>
                <w:szCs w:val="28"/>
              </w:rPr>
              <w:t>0,980</w:t>
            </w:r>
          </w:p>
        </w:tc>
        <w:tc>
          <w:tcPr>
            <w:tcW w:w="1641" w:type="dxa"/>
          </w:tcPr>
          <w:p w:rsidR="001B726A" w:rsidRDefault="001B726A">
            <w:pPr>
              <w:jc w:val="center"/>
              <w:rPr>
                <w:szCs w:val="28"/>
              </w:rPr>
            </w:pPr>
            <w:r>
              <w:rPr>
                <w:szCs w:val="28"/>
              </w:rPr>
              <w:t>1,596</w:t>
            </w:r>
          </w:p>
        </w:tc>
        <w:tc>
          <w:tcPr>
            <w:tcW w:w="1641" w:type="dxa"/>
          </w:tcPr>
          <w:p w:rsidR="001B726A" w:rsidRDefault="001B726A">
            <w:pPr>
              <w:jc w:val="center"/>
              <w:rPr>
                <w:szCs w:val="28"/>
              </w:rPr>
            </w:pPr>
            <w:r>
              <w:rPr>
                <w:szCs w:val="28"/>
              </w:rPr>
              <w:t>2,219</w:t>
            </w:r>
          </w:p>
        </w:tc>
        <w:tc>
          <w:tcPr>
            <w:tcW w:w="1641" w:type="dxa"/>
          </w:tcPr>
          <w:p w:rsidR="001B726A" w:rsidRDefault="001B726A">
            <w:pPr>
              <w:jc w:val="center"/>
              <w:rPr>
                <w:szCs w:val="28"/>
              </w:rPr>
            </w:pPr>
            <w:r>
              <w:rPr>
                <w:szCs w:val="28"/>
              </w:rPr>
              <w:t>2,889</w:t>
            </w:r>
          </w:p>
        </w:tc>
        <w:tc>
          <w:tcPr>
            <w:tcW w:w="1641" w:type="dxa"/>
          </w:tcPr>
          <w:p w:rsidR="001B726A" w:rsidRDefault="001B726A">
            <w:pPr>
              <w:jc w:val="center"/>
              <w:rPr>
                <w:szCs w:val="28"/>
              </w:rPr>
            </w:pPr>
            <w:r>
              <w:rPr>
                <w:szCs w:val="28"/>
              </w:rPr>
              <w:t>3,900</w:t>
            </w:r>
          </w:p>
        </w:tc>
      </w:tr>
    </w:tbl>
    <w:p w:rsidR="001B726A" w:rsidRDefault="001B726A" w:rsidP="00961B8D">
      <w:pPr>
        <w:rPr>
          <w:szCs w:val="28"/>
        </w:rPr>
      </w:pPr>
    </w:p>
    <w:p w:rsidR="001B726A" w:rsidRDefault="001B726A" w:rsidP="00961B8D">
      <w:pPr>
        <w:spacing w:line="240" w:lineRule="auto"/>
        <w:rPr>
          <w:szCs w:val="28"/>
        </w:rPr>
      </w:pPr>
      <w:r>
        <w:rPr>
          <w:szCs w:val="28"/>
        </w:rPr>
        <w:t>Брутто-ставка определяется по той же формуле, что и в методике (</w:t>
      </w:r>
      <w:r>
        <w:rPr>
          <w:szCs w:val="28"/>
          <w:lang w:val="en-US"/>
        </w:rPr>
        <w:t>I</w:t>
      </w:r>
      <w:r>
        <w:rPr>
          <w:szCs w:val="28"/>
        </w:rPr>
        <w:t>)</w:t>
      </w:r>
    </w:p>
    <w:p w:rsidR="001B726A" w:rsidRDefault="001B726A" w:rsidP="00961B8D">
      <w:pPr>
        <w:spacing w:line="240" w:lineRule="auto"/>
        <w:rPr>
          <w:szCs w:val="28"/>
        </w:rPr>
      </w:pPr>
    </w:p>
    <w:p w:rsidR="001B726A" w:rsidRDefault="001B726A" w:rsidP="00961B8D">
      <w:pPr>
        <w:spacing w:line="240" w:lineRule="auto"/>
        <w:rPr>
          <w:szCs w:val="28"/>
        </w:rPr>
      </w:pPr>
      <w:r>
        <w:rPr>
          <w:szCs w:val="28"/>
        </w:rPr>
        <w:t xml:space="preserve">                                                            </w:t>
      </w:r>
      <w:r>
        <w:rPr>
          <w:position w:val="-28"/>
          <w:szCs w:val="28"/>
        </w:rPr>
        <w:object w:dxaOrig="1339" w:dyaOrig="680">
          <v:shape id="_x0000_i1037" type="#_x0000_t75" style="width:66pt;height:33.75pt" o:ole="">
            <v:imagedata r:id="rId31" o:title=""/>
          </v:shape>
          <o:OLEObject Type="Embed" ProgID="Equation.3" ShapeID="_x0000_i1037" DrawAspect="Content" ObjectID="_1474375637" r:id="rId32"/>
        </w:object>
      </w:r>
    </w:p>
    <w:p w:rsidR="001B726A" w:rsidRDefault="001B726A" w:rsidP="00961B8D">
      <w:pPr>
        <w:spacing w:line="240" w:lineRule="auto"/>
        <w:ind w:firstLine="708"/>
        <w:rPr>
          <w:szCs w:val="28"/>
        </w:rPr>
      </w:pPr>
      <w:r>
        <w:rPr>
          <w:szCs w:val="28"/>
        </w:rPr>
        <w:t xml:space="preserve">где   </w:t>
      </w:r>
      <w:r>
        <w:rPr>
          <w:i/>
          <w:szCs w:val="28"/>
        </w:rPr>
        <w:t>Т</w:t>
      </w:r>
      <w:r>
        <w:rPr>
          <w:i/>
          <w:szCs w:val="28"/>
          <w:vertAlign w:val="subscript"/>
        </w:rPr>
        <w:t>б</w:t>
      </w:r>
      <w:r>
        <w:rPr>
          <w:szCs w:val="28"/>
        </w:rPr>
        <w:t xml:space="preserve"> – брутто-ставка;</w:t>
      </w:r>
    </w:p>
    <w:p w:rsidR="001B726A" w:rsidRDefault="001B726A" w:rsidP="00961B8D">
      <w:pPr>
        <w:spacing w:line="240" w:lineRule="auto"/>
        <w:rPr>
          <w:szCs w:val="28"/>
        </w:rPr>
      </w:pPr>
      <w:r>
        <w:rPr>
          <w:szCs w:val="28"/>
        </w:rPr>
        <w:t xml:space="preserve">                  </w:t>
      </w:r>
      <w:r>
        <w:rPr>
          <w:i/>
          <w:szCs w:val="28"/>
        </w:rPr>
        <w:t>Т</w:t>
      </w:r>
      <w:r>
        <w:rPr>
          <w:i/>
          <w:szCs w:val="28"/>
          <w:vertAlign w:val="subscript"/>
          <w:lang w:val="en-US"/>
        </w:rPr>
        <w:t>n</w:t>
      </w:r>
      <w:r>
        <w:rPr>
          <w:szCs w:val="28"/>
        </w:rPr>
        <w:t xml:space="preserve"> – нетто-ставка;</w:t>
      </w:r>
    </w:p>
    <w:p w:rsidR="001B726A" w:rsidRDefault="001B726A" w:rsidP="00961B8D">
      <w:pPr>
        <w:spacing w:line="240" w:lineRule="auto"/>
        <w:rPr>
          <w:szCs w:val="28"/>
        </w:rPr>
      </w:pPr>
      <w:r>
        <w:rPr>
          <w:szCs w:val="28"/>
        </w:rPr>
        <w:t xml:space="preserve">                  </w:t>
      </w:r>
      <w:r>
        <w:rPr>
          <w:i/>
          <w:szCs w:val="28"/>
          <w:lang w:val="en-US"/>
        </w:rPr>
        <w:t>f</w:t>
      </w:r>
      <w:r w:rsidRPr="00961B8D">
        <w:rPr>
          <w:i/>
          <w:szCs w:val="28"/>
        </w:rPr>
        <w:t xml:space="preserve"> </w:t>
      </w:r>
      <w:r>
        <w:rPr>
          <w:szCs w:val="28"/>
        </w:rPr>
        <w:t>– доля нагрузки в общей тарифной ставке, процентов.</w:t>
      </w:r>
    </w:p>
    <w:p w:rsidR="001B726A" w:rsidRPr="008A049E" w:rsidRDefault="001B726A" w:rsidP="00961B8D">
      <w:pPr>
        <w:spacing w:line="240" w:lineRule="auto"/>
        <w:ind w:firstLine="0"/>
      </w:pPr>
    </w:p>
    <w:sectPr w:rsidR="001B726A" w:rsidRPr="008A049E" w:rsidSect="00A76E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6A" w:rsidRDefault="001B726A">
      <w:r>
        <w:separator/>
      </w:r>
    </w:p>
  </w:endnote>
  <w:endnote w:type="continuationSeparator" w:id="0">
    <w:p w:rsidR="001B726A" w:rsidRDefault="001B7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6A" w:rsidRDefault="001B726A">
      <w:r>
        <w:separator/>
      </w:r>
    </w:p>
  </w:footnote>
  <w:footnote w:type="continuationSeparator" w:id="0">
    <w:p w:rsidR="001B726A" w:rsidRDefault="001B7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5802"/>
    <w:multiLevelType w:val="hybridMultilevel"/>
    <w:tmpl w:val="15C81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423380"/>
    <w:multiLevelType w:val="multilevel"/>
    <w:tmpl w:val="F984D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9D66C01"/>
    <w:multiLevelType w:val="hybridMultilevel"/>
    <w:tmpl w:val="3F1438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C005B04"/>
    <w:multiLevelType w:val="hybridMultilevel"/>
    <w:tmpl w:val="8D0A4DF6"/>
    <w:lvl w:ilvl="0" w:tplc="A1EA151A">
      <w:start w:val="1"/>
      <w:numFmt w:val="decimal"/>
      <w:lvlText w:val="%1."/>
      <w:lvlJc w:val="left"/>
      <w:pPr>
        <w:tabs>
          <w:tab w:val="num" w:pos="795"/>
        </w:tabs>
        <w:ind w:left="795" w:hanging="435"/>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38E5141"/>
    <w:multiLevelType w:val="hybridMultilevel"/>
    <w:tmpl w:val="BC86D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7FB"/>
    <w:rsid w:val="00017272"/>
    <w:rsid w:val="0003198C"/>
    <w:rsid w:val="00062E47"/>
    <w:rsid w:val="0007515F"/>
    <w:rsid w:val="00082641"/>
    <w:rsid w:val="00087A78"/>
    <w:rsid w:val="000C598C"/>
    <w:rsid w:val="000E6E87"/>
    <w:rsid w:val="000F7C81"/>
    <w:rsid w:val="00125D84"/>
    <w:rsid w:val="00141A5A"/>
    <w:rsid w:val="00152B0F"/>
    <w:rsid w:val="00174645"/>
    <w:rsid w:val="0017734F"/>
    <w:rsid w:val="00181857"/>
    <w:rsid w:val="00192691"/>
    <w:rsid w:val="001B1108"/>
    <w:rsid w:val="001B726A"/>
    <w:rsid w:val="001C2E52"/>
    <w:rsid w:val="001D77CB"/>
    <w:rsid w:val="00236EB4"/>
    <w:rsid w:val="0023726A"/>
    <w:rsid w:val="00262F9C"/>
    <w:rsid w:val="00265CBD"/>
    <w:rsid w:val="00277FC5"/>
    <w:rsid w:val="002968F4"/>
    <w:rsid w:val="002A224A"/>
    <w:rsid w:val="002E3ECF"/>
    <w:rsid w:val="002F0B04"/>
    <w:rsid w:val="002F3285"/>
    <w:rsid w:val="00336A44"/>
    <w:rsid w:val="0034110A"/>
    <w:rsid w:val="0035277F"/>
    <w:rsid w:val="00352DB6"/>
    <w:rsid w:val="00353E26"/>
    <w:rsid w:val="0035601E"/>
    <w:rsid w:val="003E79E2"/>
    <w:rsid w:val="00430C58"/>
    <w:rsid w:val="0043368F"/>
    <w:rsid w:val="00442854"/>
    <w:rsid w:val="00452D82"/>
    <w:rsid w:val="004A756E"/>
    <w:rsid w:val="004B0FE9"/>
    <w:rsid w:val="004D599E"/>
    <w:rsid w:val="004E0E22"/>
    <w:rsid w:val="004E6D77"/>
    <w:rsid w:val="00507254"/>
    <w:rsid w:val="00552B10"/>
    <w:rsid w:val="00570C25"/>
    <w:rsid w:val="00573A62"/>
    <w:rsid w:val="00596A55"/>
    <w:rsid w:val="005B10C4"/>
    <w:rsid w:val="005F4CAB"/>
    <w:rsid w:val="00663817"/>
    <w:rsid w:val="00691ACA"/>
    <w:rsid w:val="00697CC8"/>
    <w:rsid w:val="006A487E"/>
    <w:rsid w:val="006C2A61"/>
    <w:rsid w:val="006C5477"/>
    <w:rsid w:val="0071459E"/>
    <w:rsid w:val="0076396E"/>
    <w:rsid w:val="007C01F8"/>
    <w:rsid w:val="007C2225"/>
    <w:rsid w:val="007F2F3E"/>
    <w:rsid w:val="008A049E"/>
    <w:rsid w:val="008C40DE"/>
    <w:rsid w:val="008C67FB"/>
    <w:rsid w:val="008E11A3"/>
    <w:rsid w:val="0090537F"/>
    <w:rsid w:val="00934B8C"/>
    <w:rsid w:val="00961B8D"/>
    <w:rsid w:val="00972128"/>
    <w:rsid w:val="0098103B"/>
    <w:rsid w:val="009B26FC"/>
    <w:rsid w:val="009C53CA"/>
    <w:rsid w:val="009D2424"/>
    <w:rsid w:val="00A110EC"/>
    <w:rsid w:val="00A131DB"/>
    <w:rsid w:val="00A14243"/>
    <w:rsid w:val="00A16D0E"/>
    <w:rsid w:val="00A2382A"/>
    <w:rsid w:val="00A4391F"/>
    <w:rsid w:val="00A64D34"/>
    <w:rsid w:val="00A76E54"/>
    <w:rsid w:val="00AC20F2"/>
    <w:rsid w:val="00AE66F4"/>
    <w:rsid w:val="00B021DE"/>
    <w:rsid w:val="00B11720"/>
    <w:rsid w:val="00B231A2"/>
    <w:rsid w:val="00BA24B4"/>
    <w:rsid w:val="00BB737D"/>
    <w:rsid w:val="00BD32B5"/>
    <w:rsid w:val="00BD74FC"/>
    <w:rsid w:val="00C20F64"/>
    <w:rsid w:val="00C61A21"/>
    <w:rsid w:val="00C73245"/>
    <w:rsid w:val="00CC5213"/>
    <w:rsid w:val="00CD24F4"/>
    <w:rsid w:val="00CE5D34"/>
    <w:rsid w:val="00D11F84"/>
    <w:rsid w:val="00D1306F"/>
    <w:rsid w:val="00D3321D"/>
    <w:rsid w:val="00D3620B"/>
    <w:rsid w:val="00D518D5"/>
    <w:rsid w:val="00D91657"/>
    <w:rsid w:val="00DC2CC3"/>
    <w:rsid w:val="00DD77BF"/>
    <w:rsid w:val="00DE7E2C"/>
    <w:rsid w:val="00DF42E6"/>
    <w:rsid w:val="00E22C1C"/>
    <w:rsid w:val="00E41899"/>
    <w:rsid w:val="00E53E3B"/>
    <w:rsid w:val="00E61A3C"/>
    <w:rsid w:val="00E6292F"/>
    <w:rsid w:val="00EE667B"/>
    <w:rsid w:val="00F22D3B"/>
    <w:rsid w:val="00F45F44"/>
    <w:rsid w:val="00FB6CE7"/>
    <w:rsid w:val="00FD33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8F"/>
    <w:pPr>
      <w:spacing w:line="360" w:lineRule="auto"/>
      <w:ind w:firstLine="709"/>
      <w:contextualSpacing/>
      <w:jc w:val="both"/>
    </w:pPr>
    <w:rPr>
      <w:rFonts w:ascii="Times New Roman" w:hAnsi="Times New Roman"/>
      <w:sz w:val="28"/>
      <w:lang w:eastAsia="en-US"/>
    </w:rPr>
  </w:style>
  <w:style w:type="paragraph" w:styleId="Heading1">
    <w:name w:val="heading 1"/>
    <w:basedOn w:val="Normal"/>
    <w:next w:val="Normal"/>
    <w:link w:val="Heading1Char"/>
    <w:uiPriority w:val="99"/>
    <w:qFormat/>
    <w:rsid w:val="0043368F"/>
    <w:pPr>
      <w:keepNext/>
      <w:keepLines/>
      <w:spacing w:before="480"/>
      <w:jc w:val="center"/>
      <w:outlineLvl w:val="0"/>
    </w:pPr>
    <w:rPr>
      <w:rFonts w:eastAsia="Times New Roman"/>
      <w:b/>
      <w:bCs/>
      <w:caps/>
      <w:szCs w:val="28"/>
    </w:rPr>
  </w:style>
  <w:style w:type="paragraph" w:styleId="Heading2">
    <w:name w:val="heading 2"/>
    <w:basedOn w:val="Normal"/>
    <w:next w:val="Normal"/>
    <w:link w:val="Heading2Char"/>
    <w:uiPriority w:val="99"/>
    <w:qFormat/>
    <w:rsid w:val="0043368F"/>
    <w:pPr>
      <w:keepNext/>
      <w:spacing w:before="240" w:after="240"/>
      <w:ind w:firstLine="0"/>
      <w:contextualSpacing w:val="0"/>
      <w:jc w:val="center"/>
      <w:outlineLvl w:val="1"/>
    </w:pPr>
    <w:rPr>
      <w:rFonts w:eastAsia="Times New Roman" w:cs="Arial"/>
      <w:b/>
      <w:bCs/>
      <w:iCs/>
      <w:szCs w:val="28"/>
      <w:lang w:eastAsia="ru-RU"/>
    </w:rPr>
  </w:style>
  <w:style w:type="paragraph" w:styleId="Heading3">
    <w:name w:val="heading 3"/>
    <w:basedOn w:val="Normal"/>
    <w:next w:val="Normal"/>
    <w:link w:val="Heading3Char"/>
    <w:uiPriority w:val="99"/>
    <w:qFormat/>
    <w:rsid w:val="0043368F"/>
    <w:pPr>
      <w:keepNext/>
      <w:keepLines/>
      <w:spacing w:before="200"/>
      <w:outlineLvl w:val="2"/>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368F"/>
    <w:rPr>
      <w:rFonts w:ascii="Times New Roman" w:hAnsi="Times New Roman" w:cs="Times New Roman"/>
      <w:b/>
      <w:bCs/>
      <w:caps/>
      <w:sz w:val="28"/>
      <w:szCs w:val="28"/>
    </w:rPr>
  </w:style>
  <w:style w:type="character" w:customStyle="1" w:styleId="Heading2Char">
    <w:name w:val="Heading 2 Char"/>
    <w:basedOn w:val="DefaultParagraphFont"/>
    <w:link w:val="Heading2"/>
    <w:uiPriority w:val="99"/>
    <w:locked/>
    <w:rsid w:val="0043368F"/>
    <w:rPr>
      <w:rFonts w:ascii="Times New Roman" w:hAnsi="Times New Roman" w:cs="Arial"/>
      <w:b/>
      <w:bCs/>
      <w:iCs/>
      <w:sz w:val="28"/>
      <w:szCs w:val="28"/>
      <w:lang w:eastAsia="ru-RU"/>
    </w:rPr>
  </w:style>
  <w:style w:type="character" w:customStyle="1" w:styleId="Heading3Char">
    <w:name w:val="Heading 3 Char"/>
    <w:basedOn w:val="DefaultParagraphFont"/>
    <w:link w:val="Heading3"/>
    <w:uiPriority w:val="99"/>
    <w:locked/>
    <w:rsid w:val="0043368F"/>
    <w:rPr>
      <w:rFonts w:ascii="Times New Roman" w:hAnsi="Times New Roman" w:cs="Times New Roman"/>
      <w:b/>
      <w:bCs/>
      <w:sz w:val="28"/>
    </w:rPr>
  </w:style>
  <w:style w:type="paragraph" w:customStyle="1" w:styleId="a">
    <w:name w:val="Для таблицы"/>
    <w:basedOn w:val="Normal"/>
    <w:uiPriority w:val="99"/>
    <w:rsid w:val="0043368F"/>
    <w:pPr>
      <w:spacing w:line="240" w:lineRule="auto"/>
    </w:pPr>
    <w:rPr>
      <w:rFonts w:eastAsia="Times New Roman"/>
      <w:sz w:val="24"/>
      <w:szCs w:val="24"/>
      <w:lang w:eastAsia="ru-RU"/>
    </w:rPr>
  </w:style>
  <w:style w:type="paragraph" w:customStyle="1" w:styleId="a0">
    <w:name w:val="Первый"/>
    <w:uiPriority w:val="99"/>
    <w:rsid w:val="0043368F"/>
    <w:pPr>
      <w:spacing w:line="360" w:lineRule="auto"/>
      <w:contextualSpacing/>
      <w:jc w:val="center"/>
    </w:pPr>
    <w:rPr>
      <w:rFonts w:ascii="Times New Roman" w:hAnsi="Times New Roman"/>
      <w:b/>
      <w:caps/>
      <w:sz w:val="28"/>
      <w:lang w:eastAsia="en-US"/>
    </w:rPr>
  </w:style>
  <w:style w:type="paragraph" w:customStyle="1" w:styleId="a1">
    <w:name w:val="Второй"/>
    <w:uiPriority w:val="99"/>
    <w:rsid w:val="0043368F"/>
    <w:pPr>
      <w:spacing w:after="200" w:line="360" w:lineRule="auto"/>
      <w:jc w:val="center"/>
    </w:pPr>
    <w:rPr>
      <w:rFonts w:ascii="Times New Roman" w:hAnsi="Times New Roman"/>
      <w:b/>
      <w:sz w:val="28"/>
      <w:lang w:eastAsia="en-US"/>
    </w:rPr>
  </w:style>
  <w:style w:type="paragraph" w:customStyle="1" w:styleId="a2">
    <w:name w:val="Нулевой"/>
    <w:uiPriority w:val="99"/>
    <w:rsid w:val="0043368F"/>
    <w:pPr>
      <w:spacing w:line="360" w:lineRule="auto"/>
      <w:ind w:firstLine="709"/>
      <w:contextualSpacing/>
      <w:jc w:val="both"/>
    </w:pPr>
    <w:rPr>
      <w:rFonts w:ascii="Times New Roman" w:hAnsi="Times New Roman"/>
      <w:sz w:val="28"/>
      <w:lang w:eastAsia="en-US"/>
    </w:rPr>
  </w:style>
  <w:style w:type="paragraph" w:customStyle="1" w:styleId="a3">
    <w:name w:val="для таблицы"/>
    <w:uiPriority w:val="99"/>
    <w:rsid w:val="0043368F"/>
    <w:pPr>
      <w:spacing w:after="200"/>
    </w:pPr>
    <w:rPr>
      <w:rFonts w:ascii="Times New Roman" w:hAnsi="Times New Roman"/>
      <w:sz w:val="24"/>
      <w:lang w:eastAsia="en-US"/>
    </w:rPr>
  </w:style>
  <w:style w:type="table" w:styleId="TableGrid">
    <w:name w:val="Table Grid"/>
    <w:basedOn w:val="TableNormal"/>
    <w:uiPriority w:val="99"/>
    <w:rsid w:val="00691A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8E11A3"/>
    <w:pPr>
      <w:spacing w:line="240" w:lineRule="auto"/>
      <w:ind w:firstLine="0"/>
      <w:contextualSpacing w:val="0"/>
      <w:jc w:val="center"/>
    </w:pPr>
    <w:rPr>
      <w:b/>
      <w:szCs w:val="20"/>
      <w:lang w:eastAsia="ru-RU"/>
    </w:rPr>
  </w:style>
  <w:style w:type="character" w:customStyle="1" w:styleId="BodyText2Char">
    <w:name w:val="Body Text 2 Char"/>
    <w:basedOn w:val="DefaultParagraphFont"/>
    <w:link w:val="BodyText2"/>
    <w:uiPriority w:val="99"/>
    <w:semiHidden/>
    <w:locked/>
    <w:rsid w:val="00192691"/>
    <w:rPr>
      <w:rFonts w:ascii="Times New Roman" w:hAnsi="Times New Roman" w:cs="Times New Roman"/>
      <w:sz w:val="28"/>
      <w:lang w:eastAsia="en-US"/>
    </w:rPr>
  </w:style>
  <w:style w:type="paragraph" w:styleId="Header">
    <w:name w:val="header"/>
    <w:basedOn w:val="Normal"/>
    <w:link w:val="HeaderChar"/>
    <w:uiPriority w:val="99"/>
    <w:rsid w:val="006A487E"/>
    <w:pPr>
      <w:tabs>
        <w:tab w:val="center" w:pos="4677"/>
        <w:tab w:val="right" w:pos="9355"/>
      </w:tabs>
    </w:pPr>
  </w:style>
  <w:style w:type="character" w:customStyle="1" w:styleId="HeaderChar">
    <w:name w:val="Header Char"/>
    <w:basedOn w:val="DefaultParagraphFont"/>
    <w:link w:val="Header"/>
    <w:uiPriority w:val="99"/>
    <w:semiHidden/>
    <w:locked/>
    <w:rsid w:val="00DE7E2C"/>
    <w:rPr>
      <w:rFonts w:ascii="Times New Roman" w:hAnsi="Times New Roman" w:cs="Times New Roman"/>
      <w:sz w:val="28"/>
      <w:lang w:eastAsia="en-US"/>
    </w:rPr>
  </w:style>
  <w:style w:type="paragraph" w:styleId="Footer">
    <w:name w:val="footer"/>
    <w:basedOn w:val="Normal"/>
    <w:link w:val="FooterChar"/>
    <w:uiPriority w:val="99"/>
    <w:rsid w:val="006A487E"/>
    <w:pPr>
      <w:tabs>
        <w:tab w:val="center" w:pos="4677"/>
        <w:tab w:val="right" w:pos="9355"/>
      </w:tabs>
    </w:pPr>
  </w:style>
  <w:style w:type="character" w:customStyle="1" w:styleId="FooterChar">
    <w:name w:val="Footer Char"/>
    <w:basedOn w:val="DefaultParagraphFont"/>
    <w:link w:val="Footer"/>
    <w:uiPriority w:val="99"/>
    <w:semiHidden/>
    <w:locked/>
    <w:rsid w:val="00DE7E2C"/>
    <w:rPr>
      <w:rFonts w:ascii="Times New Roman" w:hAnsi="Times New Roman" w:cs="Times New Roman"/>
      <w:sz w:val="28"/>
      <w:lang w:eastAsia="en-US"/>
    </w:rPr>
  </w:style>
  <w:style w:type="paragraph" w:styleId="NormalWeb">
    <w:name w:val="Normal (Web)"/>
    <w:basedOn w:val="Normal"/>
    <w:uiPriority w:val="99"/>
    <w:rsid w:val="000C598C"/>
    <w:pPr>
      <w:spacing w:before="100" w:beforeAutospacing="1" w:after="100" w:afterAutospacing="1" w:line="240" w:lineRule="auto"/>
      <w:ind w:firstLine="0"/>
      <w:contextualSpacing w:val="0"/>
      <w:jc w:val="left"/>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205784">
      <w:marLeft w:val="0"/>
      <w:marRight w:val="0"/>
      <w:marTop w:val="0"/>
      <w:marBottom w:val="0"/>
      <w:divBdr>
        <w:top w:val="none" w:sz="0" w:space="0" w:color="auto"/>
        <w:left w:val="none" w:sz="0" w:space="0" w:color="auto"/>
        <w:bottom w:val="none" w:sz="0" w:space="0" w:color="auto"/>
        <w:right w:val="none" w:sz="0" w:space="0" w:color="auto"/>
      </w:divBdr>
    </w:div>
    <w:div w:id="2060205785">
      <w:marLeft w:val="0"/>
      <w:marRight w:val="0"/>
      <w:marTop w:val="0"/>
      <w:marBottom w:val="0"/>
      <w:divBdr>
        <w:top w:val="none" w:sz="0" w:space="0" w:color="auto"/>
        <w:left w:val="none" w:sz="0" w:space="0" w:color="auto"/>
        <w:bottom w:val="none" w:sz="0" w:space="0" w:color="auto"/>
        <w:right w:val="none" w:sz="0" w:space="0" w:color="auto"/>
      </w:divBdr>
    </w:div>
    <w:div w:id="2060205786">
      <w:marLeft w:val="0"/>
      <w:marRight w:val="0"/>
      <w:marTop w:val="0"/>
      <w:marBottom w:val="0"/>
      <w:divBdr>
        <w:top w:val="none" w:sz="0" w:space="0" w:color="auto"/>
        <w:left w:val="none" w:sz="0" w:space="0" w:color="auto"/>
        <w:bottom w:val="none" w:sz="0" w:space="0" w:color="auto"/>
        <w:right w:val="none" w:sz="0" w:space="0" w:color="auto"/>
      </w:divBdr>
    </w:div>
    <w:div w:id="2060205787">
      <w:marLeft w:val="0"/>
      <w:marRight w:val="0"/>
      <w:marTop w:val="0"/>
      <w:marBottom w:val="0"/>
      <w:divBdr>
        <w:top w:val="none" w:sz="0" w:space="0" w:color="auto"/>
        <w:left w:val="none" w:sz="0" w:space="0" w:color="auto"/>
        <w:bottom w:val="none" w:sz="0" w:space="0" w:color="auto"/>
        <w:right w:val="none" w:sz="0" w:space="0" w:color="auto"/>
      </w:divBdr>
    </w:div>
    <w:div w:id="2060205788">
      <w:marLeft w:val="0"/>
      <w:marRight w:val="0"/>
      <w:marTop w:val="0"/>
      <w:marBottom w:val="0"/>
      <w:divBdr>
        <w:top w:val="none" w:sz="0" w:space="0" w:color="auto"/>
        <w:left w:val="none" w:sz="0" w:space="0" w:color="auto"/>
        <w:bottom w:val="none" w:sz="0" w:space="0" w:color="auto"/>
        <w:right w:val="none" w:sz="0" w:space="0" w:color="auto"/>
      </w:divBdr>
    </w:div>
    <w:div w:id="2060205789">
      <w:marLeft w:val="0"/>
      <w:marRight w:val="0"/>
      <w:marTop w:val="0"/>
      <w:marBottom w:val="0"/>
      <w:divBdr>
        <w:top w:val="none" w:sz="0" w:space="0" w:color="auto"/>
        <w:left w:val="none" w:sz="0" w:space="0" w:color="auto"/>
        <w:bottom w:val="none" w:sz="0" w:space="0" w:color="auto"/>
        <w:right w:val="none" w:sz="0" w:space="0" w:color="auto"/>
      </w:divBdr>
    </w:div>
    <w:div w:id="2060205790">
      <w:marLeft w:val="0"/>
      <w:marRight w:val="0"/>
      <w:marTop w:val="0"/>
      <w:marBottom w:val="0"/>
      <w:divBdr>
        <w:top w:val="none" w:sz="0" w:space="0" w:color="auto"/>
        <w:left w:val="none" w:sz="0" w:space="0" w:color="auto"/>
        <w:bottom w:val="none" w:sz="0" w:space="0" w:color="auto"/>
        <w:right w:val="none" w:sz="0" w:space="0" w:color="auto"/>
      </w:divBdr>
    </w:div>
    <w:div w:id="2060205791">
      <w:marLeft w:val="0"/>
      <w:marRight w:val="0"/>
      <w:marTop w:val="0"/>
      <w:marBottom w:val="0"/>
      <w:divBdr>
        <w:top w:val="none" w:sz="0" w:space="0" w:color="auto"/>
        <w:left w:val="none" w:sz="0" w:space="0" w:color="auto"/>
        <w:bottom w:val="none" w:sz="0" w:space="0" w:color="auto"/>
        <w:right w:val="none" w:sz="0" w:space="0" w:color="auto"/>
      </w:divBdr>
    </w:div>
    <w:div w:id="2060205792">
      <w:marLeft w:val="0"/>
      <w:marRight w:val="0"/>
      <w:marTop w:val="0"/>
      <w:marBottom w:val="0"/>
      <w:divBdr>
        <w:top w:val="none" w:sz="0" w:space="0" w:color="auto"/>
        <w:left w:val="none" w:sz="0" w:space="0" w:color="auto"/>
        <w:bottom w:val="none" w:sz="0" w:space="0" w:color="auto"/>
        <w:right w:val="none" w:sz="0" w:space="0" w:color="auto"/>
      </w:divBdr>
    </w:div>
    <w:div w:id="2060205793">
      <w:marLeft w:val="0"/>
      <w:marRight w:val="0"/>
      <w:marTop w:val="0"/>
      <w:marBottom w:val="0"/>
      <w:divBdr>
        <w:top w:val="none" w:sz="0" w:space="0" w:color="auto"/>
        <w:left w:val="none" w:sz="0" w:space="0" w:color="auto"/>
        <w:bottom w:val="none" w:sz="0" w:space="0" w:color="auto"/>
        <w:right w:val="none" w:sz="0" w:space="0" w:color="auto"/>
      </w:divBdr>
    </w:div>
    <w:div w:id="2060205794">
      <w:marLeft w:val="0"/>
      <w:marRight w:val="0"/>
      <w:marTop w:val="0"/>
      <w:marBottom w:val="0"/>
      <w:divBdr>
        <w:top w:val="none" w:sz="0" w:space="0" w:color="auto"/>
        <w:left w:val="none" w:sz="0" w:space="0" w:color="auto"/>
        <w:bottom w:val="none" w:sz="0" w:space="0" w:color="auto"/>
        <w:right w:val="none" w:sz="0" w:space="0" w:color="auto"/>
      </w:divBdr>
    </w:div>
    <w:div w:id="2060205797">
      <w:marLeft w:val="0"/>
      <w:marRight w:val="0"/>
      <w:marTop w:val="0"/>
      <w:marBottom w:val="0"/>
      <w:divBdr>
        <w:top w:val="none" w:sz="0" w:space="0" w:color="auto"/>
        <w:left w:val="none" w:sz="0" w:space="0" w:color="auto"/>
        <w:bottom w:val="none" w:sz="0" w:space="0" w:color="auto"/>
        <w:right w:val="none" w:sz="0" w:space="0" w:color="auto"/>
      </w:divBdr>
      <w:divsChild>
        <w:div w:id="2060205795">
          <w:marLeft w:val="0"/>
          <w:marRight w:val="0"/>
          <w:marTop w:val="424"/>
          <w:marBottom w:val="424"/>
          <w:divBdr>
            <w:top w:val="none" w:sz="0" w:space="0" w:color="auto"/>
            <w:left w:val="none" w:sz="0" w:space="0" w:color="auto"/>
            <w:bottom w:val="none" w:sz="0" w:space="0" w:color="auto"/>
            <w:right w:val="none" w:sz="0" w:space="0" w:color="auto"/>
          </w:divBdr>
          <w:divsChild>
            <w:div w:id="2060205802">
              <w:marLeft w:val="0"/>
              <w:marRight w:val="0"/>
              <w:marTop w:val="0"/>
              <w:marBottom w:val="0"/>
              <w:divBdr>
                <w:top w:val="none" w:sz="0" w:space="0" w:color="auto"/>
                <w:left w:val="none" w:sz="0" w:space="0" w:color="auto"/>
                <w:bottom w:val="none" w:sz="0" w:space="0" w:color="auto"/>
                <w:right w:val="none" w:sz="0" w:space="0" w:color="auto"/>
              </w:divBdr>
              <w:divsChild>
                <w:div w:id="2060205805">
                  <w:marLeft w:val="0"/>
                  <w:marRight w:val="0"/>
                  <w:marTop w:val="0"/>
                  <w:marBottom w:val="0"/>
                  <w:divBdr>
                    <w:top w:val="none" w:sz="0" w:space="0" w:color="auto"/>
                    <w:left w:val="none" w:sz="0" w:space="0" w:color="auto"/>
                    <w:bottom w:val="none" w:sz="0" w:space="0" w:color="auto"/>
                    <w:right w:val="none" w:sz="0" w:space="0" w:color="auto"/>
                  </w:divBdr>
                  <w:divsChild>
                    <w:div w:id="2060205812">
                      <w:marLeft w:val="127"/>
                      <w:marRight w:val="113"/>
                      <w:marTop w:val="0"/>
                      <w:marBottom w:val="0"/>
                      <w:divBdr>
                        <w:top w:val="none" w:sz="0" w:space="0" w:color="auto"/>
                        <w:left w:val="none" w:sz="0" w:space="0" w:color="auto"/>
                        <w:bottom w:val="none" w:sz="0" w:space="0" w:color="auto"/>
                        <w:right w:val="none" w:sz="0" w:space="0" w:color="auto"/>
                      </w:divBdr>
                      <w:divsChild>
                        <w:div w:id="2060205803">
                          <w:marLeft w:val="0"/>
                          <w:marRight w:val="0"/>
                          <w:marTop w:val="0"/>
                          <w:marBottom w:val="0"/>
                          <w:divBdr>
                            <w:top w:val="none" w:sz="0" w:space="0" w:color="auto"/>
                            <w:left w:val="none" w:sz="0" w:space="0" w:color="auto"/>
                            <w:bottom w:val="none" w:sz="0" w:space="0" w:color="auto"/>
                            <w:right w:val="none" w:sz="0" w:space="0" w:color="auto"/>
                          </w:divBdr>
                          <w:divsChild>
                            <w:div w:id="2060205799">
                              <w:marLeft w:val="0"/>
                              <w:marRight w:val="0"/>
                              <w:marTop w:val="0"/>
                              <w:marBottom w:val="0"/>
                              <w:divBdr>
                                <w:top w:val="none" w:sz="0" w:space="0" w:color="auto"/>
                                <w:left w:val="none" w:sz="0" w:space="0" w:color="auto"/>
                                <w:bottom w:val="none" w:sz="0" w:space="0" w:color="auto"/>
                                <w:right w:val="none" w:sz="0" w:space="0" w:color="auto"/>
                              </w:divBdr>
                              <w:divsChild>
                                <w:div w:id="2060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5798">
      <w:marLeft w:val="0"/>
      <w:marRight w:val="0"/>
      <w:marTop w:val="0"/>
      <w:marBottom w:val="0"/>
      <w:divBdr>
        <w:top w:val="none" w:sz="0" w:space="0" w:color="auto"/>
        <w:left w:val="none" w:sz="0" w:space="0" w:color="auto"/>
        <w:bottom w:val="none" w:sz="0" w:space="0" w:color="auto"/>
        <w:right w:val="none" w:sz="0" w:space="0" w:color="auto"/>
      </w:divBdr>
      <w:divsChild>
        <w:div w:id="2060205809">
          <w:marLeft w:val="0"/>
          <w:marRight w:val="0"/>
          <w:marTop w:val="424"/>
          <w:marBottom w:val="424"/>
          <w:divBdr>
            <w:top w:val="none" w:sz="0" w:space="0" w:color="auto"/>
            <w:left w:val="none" w:sz="0" w:space="0" w:color="auto"/>
            <w:bottom w:val="none" w:sz="0" w:space="0" w:color="auto"/>
            <w:right w:val="none" w:sz="0" w:space="0" w:color="auto"/>
          </w:divBdr>
          <w:divsChild>
            <w:div w:id="2060205804">
              <w:marLeft w:val="0"/>
              <w:marRight w:val="0"/>
              <w:marTop w:val="0"/>
              <w:marBottom w:val="0"/>
              <w:divBdr>
                <w:top w:val="none" w:sz="0" w:space="0" w:color="auto"/>
                <w:left w:val="none" w:sz="0" w:space="0" w:color="auto"/>
                <w:bottom w:val="none" w:sz="0" w:space="0" w:color="auto"/>
                <w:right w:val="none" w:sz="0" w:space="0" w:color="auto"/>
              </w:divBdr>
              <w:divsChild>
                <w:div w:id="2060205800">
                  <w:marLeft w:val="0"/>
                  <w:marRight w:val="0"/>
                  <w:marTop w:val="0"/>
                  <w:marBottom w:val="0"/>
                  <w:divBdr>
                    <w:top w:val="none" w:sz="0" w:space="0" w:color="auto"/>
                    <w:left w:val="none" w:sz="0" w:space="0" w:color="auto"/>
                    <w:bottom w:val="none" w:sz="0" w:space="0" w:color="auto"/>
                    <w:right w:val="none" w:sz="0" w:space="0" w:color="auto"/>
                  </w:divBdr>
                  <w:divsChild>
                    <w:div w:id="2060205796">
                      <w:marLeft w:val="127"/>
                      <w:marRight w:val="113"/>
                      <w:marTop w:val="0"/>
                      <w:marBottom w:val="0"/>
                      <w:divBdr>
                        <w:top w:val="none" w:sz="0" w:space="0" w:color="auto"/>
                        <w:left w:val="none" w:sz="0" w:space="0" w:color="auto"/>
                        <w:bottom w:val="none" w:sz="0" w:space="0" w:color="auto"/>
                        <w:right w:val="none" w:sz="0" w:space="0" w:color="auto"/>
                      </w:divBdr>
                      <w:divsChild>
                        <w:div w:id="2060205811">
                          <w:marLeft w:val="0"/>
                          <w:marRight w:val="0"/>
                          <w:marTop w:val="0"/>
                          <w:marBottom w:val="0"/>
                          <w:divBdr>
                            <w:top w:val="none" w:sz="0" w:space="0" w:color="auto"/>
                            <w:left w:val="none" w:sz="0" w:space="0" w:color="auto"/>
                            <w:bottom w:val="none" w:sz="0" w:space="0" w:color="auto"/>
                            <w:right w:val="none" w:sz="0" w:space="0" w:color="auto"/>
                          </w:divBdr>
                          <w:divsChild>
                            <w:div w:id="2060205810">
                              <w:marLeft w:val="0"/>
                              <w:marRight w:val="0"/>
                              <w:marTop w:val="0"/>
                              <w:marBottom w:val="0"/>
                              <w:divBdr>
                                <w:top w:val="none" w:sz="0" w:space="0" w:color="auto"/>
                                <w:left w:val="none" w:sz="0" w:space="0" w:color="auto"/>
                                <w:bottom w:val="none" w:sz="0" w:space="0" w:color="auto"/>
                                <w:right w:val="none" w:sz="0" w:space="0" w:color="auto"/>
                              </w:divBdr>
                              <w:divsChild>
                                <w:div w:id="20602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5806">
      <w:marLeft w:val="0"/>
      <w:marRight w:val="0"/>
      <w:marTop w:val="0"/>
      <w:marBottom w:val="0"/>
      <w:divBdr>
        <w:top w:val="none" w:sz="0" w:space="0" w:color="auto"/>
        <w:left w:val="none" w:sz="0" w:space="0" w:color="auto"/>
        <w:bottom w:val="none" w:sz="0" w:space="0" w:color="auto"/>
        <w:right w:val="none" w:sz="0" w:space="0" w:color="auto"/>
      </w:divBdr>
    </w:div>
    <w:div w:id="2060205807">
      <w:marLeft w:val="0"/>
      <w:marRight w:val="0"/>
      <w:marTop w:val="0"/>
      <w:marBottom w:val="0"/>
      <w:divBdr>
        <w:top w:val="none" w:sz="0" w:space="0" w:color="auto"/>
        <w:left w:val="none" w:sz="0" w:space="0" w:color="auto"/>
        <w:bottom w:val="none" w:sz="0" w:space="0" w:color="auto"/>
        <w:right w:val="none" w:sz="0" w:space="0" w:color="auto"/>
      </w:divBdr>
    </w:div>
    <w:div w:id="2060205813">
      <w:marLeft w:val="0"/>
      <w:marRight w:val="0"/>
      <w:marTop w:val="0"/>
      <w:marBottom w:val="0"/>
      <w:divBdr>
        <w:top w:val="none" w:sz="0" w:space="0" w:color="auto"/>
        <w:left w:val="none" w:sz="0" w:space="0" w:color="auto"/>
        <w:bottom w:val="none" w:sz="0" w:space="0" w:color="auto"/>
        <w:right w:val="none" w:sz="0" w:space="0" w:color="auto"/>
      </w:divBdr>
    </w:div>
    <w:div w:id="2060205814">
      <w:marLeft w:val="0"/>
      <w:marRight w:val="0"/>
      <w:marTop w:val="0"/>
      <w:marBottom w:val="0"/>
      <w:divBdr>
        <w:top w:val="none" w:sz="0" w:space="0" w:color="auto"/>
        <w:left w:val="none" w:sz="0" w:space="0" w:color="auto"/>
        <w:bottom w:val="none" w:sz="0" w:space="0" w:color="auto"/>
        <w:right w:val="none" w:sz="0" w:space="0" w:color="auto"/>
      </w:divBdr>
    </w:div>
    <w:div w:id="2060205815">
      <w:marLeft w:val="0"/>
      <w:marRight w:val="0"/>
      <w:marTop w:val="0"/>
      <w:marBottom w:val="0"/>
      <w:divBdr>
        <w:top w:val="none" w:sz="0" w:space="0" w:color="auto"/>
        <w:left w:val="none" w:sz="0" w:space="0" w:color="auto"/>
        <w:bottom w:val="none" w:sz="0" w:space="0" w:color="auto"/>
        <w:right w:val="none" w:sz="0" w:space="0" w:color="auto"/>
      </w:divBdr>
    </w:div>
    <w:div w:id="2060205816">
      <w:marLeft w:val="0"/>
      <w:marRight w:val="0"/>
      <w:marTop w:val="0"/>
      <w:marBottom w:val="0"/>
      <w:divBdr>
        <w:top w:val="none" w:sz="0" w:space="0" w:color="auto"/>
        <w:left w:val="none" w:sz="0" w:space="0" w:color="auto"/>
        <w:bottom w:val="none" w:sz="0" w:space="0" w:color="auto"/>
        <w:right w:val="none" w:sz="0" w:space="0" w:color="auto"/>
      </w:divBdr>
    </w:div>
    <w:div w:id="2060205817">
      <w:marLeft w:val="0"/>
      <w:marRight w:val="0"/>
      <w:marTop w:val="0"/>
      <w:marBottom w:val="0"/>
      <w:divBdr>
        <w:top w:val="none" w:sz="0" w:space="0" w:color="auto"/>
        <w:left w:val="none" w:sz="0" w:space="0" w:color="auto"/>
        <w:bottom w:val="none" w:sz="0" w:space="0" w:color="auto"/>
        <w:right w:val="none" w:sz="0" w:space="0" w:color="auto"/>
      </w:divBdr>
    </w:div>
    <w:div w:id="2060205818">
      <w:marLeft w:val="0"/>
      <w:marRight w:val="0"/>
      <w:marTop w:val="0"/>
      <w:marBottom w:val="0"/>
      <w:divBdr>
        <w:top w:val="none" w:sz="0" w:space="0" w:color="auto"/>
        <w:left w:val="none" w:sz="0" w:space="0" w:color="auto"/>
        <w:bottom w:val="none" w:sz="0" w:space="0" w:color="auto"/>
        <w:right w:val="none" w:sz="0" w:space="0" w:color="auto"/>
      </w:divBdr>
    </w:div>
    <w:div w:id="2060205819">
      <w:marLeft w:val="0"/>
      <w:marRight w:val="0"/>
      <w:marTop w:val="0"/>
      <w:marBottom w:val="0"/>
      <w:divBdr>
        <w:top w:val="none" w:sz="0" w:space="0" w:color="auto"/>
        <w:left w:val="none" w:sz="0" w:space="0" w:color="auto"/>
        <w:bottom w:val="none" w:sz="0" w:space="0" w:color="auto"/>
        <w:right w:val="none" w:sz="0" w:space="0" w:color="auto"/>
      </w:divBdr>
    </w:div>
    <w:div w:id="2060205820">
      <w:marLeft w:val="0"/>
      <w:marRight w:val="0"/>
      <w:marTop w:val="0"/>
      <w:marBottom w:val="0"/>
      <w:divBdr>
        <w:top w:val="none" w:sz="0" w:space="0" w:color="auto"/>
        <w:left w:val="none" w:sz="0" w:space="0" w:color="auto"/>
        <w:bottom w:val="none" w:sz="0" w:space="0" w:color="auto"/>
        <w:right w:val="none" w:sz="0" w:space="0" w:color="auto"/>
      </w:divBdr>
    </w:div>
    <w:div w:id="2060205821">
      <w:marLeft w:val="0"/>
      <w:marRight w:val="0"/>
      <w:marTop w:val="0"/>
      <w:marBottom w:val="0"/>
      <w:divBdr>
        <w:top w:val="none" w:sz="0" w:space="0" w:color="auto"/>
        <w:left w:val="none" w:sz="0" w:space="0" w:color="auto"/>
        <w:bottom w:val="none" w:sz="0" w:space="0" w:color="auto"/>
        <w:right w:val="none" w:sz="0" w:space="0" w:color="auto"/>
      </w:divBdr>
    </w:div>
    <w:div w:id="2060205822">
      <w:marLeft w:val="0"/>
      <w:marRight w:val="0"/>
      <w:marTop w:val="0"/>
      <w:marBottom w:val="0"/>
      <w:divBdr>
        <w:top w:val="none" w:sz="0" w:space="0" w:color="auto"/>
        <w:left w:val="none" w:sz="0" w:space="0" w:color="auto"/>
        <w:bottom w:val="none" w:sz="0" w:space="0" w:color="auto"/>
        <w:right w:val="none" w:sz="0" w:space="0" w:color="auto"/>
      </w:divBdr>
    </w:div>
    <w:div w:id="206020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652</TotalTime>
  <Pages>5</Pages>
  <Words>937</Words>
  <Characters>5345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Татьяна Шарабарова</cp:lastModifiedBy>
  <cp:revision>68</cp:revision>
  <cp:lastPrinted>2014-10-09T08:06:00Z</cp:lastPrinted>
  <dcterms:created xsi:type="dcterms:W3CDTF">2014-06-26T08:41:00Z</dcterms:created>
  <dcterms:modified xsi:type="dcterms:W3CDTF">2014-10-09T09:00:00Z</dcterms:modified>
</cp:coreProperties>
</file>