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A0" w:rsidRPr="00FB6CE7" w:rsidRDefault="00EC21A0" w:rsidP="008E11A3">
      <w:pPr>
        <w:pStyle w:val="BodyText2"/>
        <w:rPr>
          <w:sz w:val="32"/>
          <w:szCs w:val="32"/>
        </w:rPr>
      </w:pPr>
      <w:r w:rsidRPr="00FB6CE7">
        <w:rPr>
          <w:sz w:val="32"/>
          <w:szCs w:val="32"/>
        </w:rPr>
        <w:t>Сибирский Государственный Университет Телекоммуникаций и Информатики</w:t>
      </w:r>
    </w:p>
    <w:p w:rsidR="00EC21A0" w:rsidRPr="00FB6CE7" w:rsidRDefault="00EC21A0" w:rsidP="008E11A3">
      <w:pPr>
        <w:jc w:val="center"/>
        <w:rPr>
          <w:b/>
          <w:sz w:val="32"/>
          <w:szCs w:val="32"/>
        </w:rPr>
      </w:pPr>
    </w:p>
    <w:p w:rsidR="00EC21A0" w:rsidRPr="00FB6CE7" w:rsidRDefault="00EC21A0" w:rsidP="008E11A3">
      <w:pPr>
        <w:jc w:val="center"/>
        <w:rPr>
          <w:b/>
          <w:sz w:val="32"/>
          <w:szCs w:val="32"/>
        </w:rPr>
      </w:pPr>
      <w:r w:rsidRPr="00FB6CE7">
        <w:rPr>
          <w:b/>
          <w:sz w:val="32"/>
          <w:szCs w:val="32"/>
        </w:rPr>
        <w:t>Межрегиональный центр переподготовки специалистов</w:t>
      </w:r>
    </w:p>
    <w:p w:rsidR="00EC21A0" w:rsidRPr="00FB6CE7" w:rsidRDefault="00EC21A0" w:rsidP="008E11A3">
      <w:pPr>
        <w:jc w:val="center"/>
        <w:rPr>
          <w:b/>
          <w:sz w:val="32"/>
          <w:szCs w:val="32"/>
        </w:rPr>
      </w:pPr>
    </w:p>
    <w:p w:rsidR="00EC21A0" w:rsidRDefault="00EC21A0" w:rsidP="008E11A3">
      <w:pPr>
        <w:jc w:val="center"/>
        <w:rPr>
          <w:b/>
        </w:rPr>
      </w:pPr>
    </w:p>
    <w:p w:rsidR="00EC21A0" w:rsidRDefault="00EC21A0" w:rsidP="008E11A3">
      <w:pPr>
        <w:jc w:val="center"/>
        <w:rPr>
          <w:b/>
        </w:rPr>
      </w:pPr>
    </w:p>
    <w:p w:rsidR="00EC21A0" w:rsidRPr="009C53CA" w:rsidRDefault="00EC21A0" w:rsidP="008E11A3">
      <w:pPr>
        <w:pStyle w:val="Heading1"/>
        <w:ind w:firstLine="0"/>
      </w:pPr>
      <w:r>
        <w:t>КОНТРОЛЬНАЯ работа</w:t>
      </w:r>
    </w:p>
    <w:p w:rsidR="00EC21A0" w:rsidRDefault="00EC21A0" w:rsidP="008E11A3">
      <w:pPr>
        <w:jc w:val="center"/>
        <w:rPr>
          <w:b/>
        </w:rPr>
      </w:pPr>
    </w:p>
    <w:p w:rsidR="00EC21A0" w:rsidRDefault="00EC21A0" w:rsidP="008E11A3">
      <w:pPr>
        <w:jc w:val="center"/>
        <w:rPr>
          <w:b/>
        </w:rPr>
      </w:pPr>
    </w:p>
    <w:p w:rsidR="00EC21A0" w:rsidRDefault="00EC21A0" w:rsidP="008E11A3">
      <w:pPr>
        <w:jc w:val="center"/>
        <w:rPr>
          <w:b/>
        </w:rPr>
      </w:pPr>
    </w:p>
    <w:p w:rsidR="00EC21A0" w:rsidRPr="00E250A7" w:rsidRDefault="00EC21A0" w:rsidP="008E11A3">
      <w:r>
        <w:rPr>
          <w:b/>
        </w:rPr>
        <w:t xml:space="preserve">По дисциплине: </w:t>
      </w:r>
      <w:r w:rsidRPr="00E250A7">
        <w:t>Налоги и налоговая система</w:t>
      </w:r>
    </w:p>
    <w:p w:rsidR="00EC21A0" w:rsidRPr="009C53CA" w:rsidRDefault="00EC21A0" w:rsidP="008E11A3"/>
    <w:p w:rsidR="00EC21A0" w:rsidRDefault="00EC21A0" w:rsidP="008E11A3">
      <w:r w:rsidRPr="00CE5D34">
        <w:rPr>
          <w:b/>
        </w:rPr>
        <w:t>Вариант</w:t>
      </w:r>
      <w:r>
        <w:t>: 5</w:t>
      </w:r>
    </w:p>
    <w:p w:rsidR="00EC21A0" w:rsidRDefault="00EC21A0" w:rsidP="008E11A3"/>
    <w:p w:rsidR="00EC21A0" w:rsidRPr="00A4391F" w:rsidRDefault="00EC21A0" w:rsidP="008E11A3">
      <w:pPr>
        <w:jc w:val="center"/>
        <w:rPr>
          <w:sz w:val="32"/>
        </w:rPr>
      </w:pPr>
    </w:p>
    <w:p w:rsidR="00EC21A0" w:rsidRPr="007C2225" w:rsidRDefault="00EC21A0" w:rsidP="008E11A3">
      <w:pPr>
        <w:ind w:firstLine="0"/>
        <w:rPr>
          <w:b/>
          <w:sz w:val="32"/>
        </w:rPr>
      </w:pPr>
    </w:p>
    <w:p w:rsidR="00EC21A0" w:rsidRPr="007C2225" w:rsidRDefault="00EC21A0" w:rsidP="008E11A3">
      <w:pPr>
        <w:jc w:val="center"/>
        <w:rPr>
          <w:b/>
          <w:sz w:val="32"/>
        </w:rPr>
      </w:pPr>
    </w:p>
    <w:p w:rsidR="00EC21A0" w:rsidRDefault="00EC21A0" w:rsidP="008E11A3">
      <w:pPr>
        <w:jc w:val="right"/>
      </w:pPr>
      <w:r>
        <w:rPr>
          <w:b/>
        </w:rPr>
        <w:t xml:space="preserve">                 Выполнил</w:t>
      </w:r>
      <w:r>
        <w:t>: слушатель группы ФКВ-21</w:t>
      </w:r>
    </w:p>
    <w:p w:rsidR="00EC21A0" w:rsidRDefault="00EC21A0" w:rsidP="008E11A3">
      <w:pPr>
        <w:jc w:val="right"/>
      </w:pPr>
      <w:r>
        <w:rPr>
          <w:b/>
        </w:rPr>
        <w:t xml:space="preserve">    </w:t>
      </w:r>
      <w:r>
        <w:t>Евдокимова Татьяна Витальевна</w:t>
      </w:r>
    </w:p>
    <w:p w:rsidR="00EC21A0" w:rsidRDefault="00EC21A0" w:rsidP="008E11A3">
      <w:pPr>
        <w:jc w:val="right"/>
      </w:pPr>
    </w:p>
    <w:p w:rsidR="00EC21A0" w:rsidRDefault="00EC21A0" w:rsidP="008E11A3">
      <w:pPr>
        <w:ind w:firstLine="0"/>
      </w:pPr>
    </w:p>
    <w:p w:rsidR="00EC21A0" w:rsidRDefault="00EC21A0" w:rsidP="008E11A3">
      <w:pPr>
        <w:jc w:val="right"/>
      </w:pPr>
      <w:r>
        <w:rPr>
          <w:b/>
        </w:rPr>
        <w:t>Проверил</w:t>
      </w:r>
      <w:r>
        <w:t xml:space="preserve">: </w:t>
      </w:r>
      <w:r w:rsidRPr="00E250A7">
        <w:t>Южаков Виктор Алексеевич</w:t>
      </w:r>
    </w:p>
    <w:p w:rsidR="00EC21A0" w:rsidRDefault="00EC21A0" w:rsidP="008E11A3">
      <w:pPr>
        <w:ind w:firstLine="3686"/>
        <w:jc w:val="center"/>
      </w:pPr>
    </w:p>
    <w:p w:rsidR="00EC21A0" w:rsidRDefault="00EC21A0" w:rsidP="008E11A3">
      <w:pPr>
        <w:ind w:firstLine="3686"/>
        <w:jc w:val="center"/>
      </w:pPr>
    </w:p>
    <w:p w:rsidR="00EC21A0" w:rsidRPr="004E6D77" w:rsidRDefault="00EC21A0" w:rsidP="008E11A3">
      <w:pPr>
        <w:ind w:firstLine="3686"/>
        <w:jc w:val="center"/>
      </w:pPr>
    </w:p>
    <w:p w:rsidR="00EC21A0" w:rsidRPr="004E6D77" w:rsidRDefault="00EC21A0" w:rsidP="008E11A3">
      <w:pPr>
        <w:ind w:firstLine="3686"/>
        <w:jc w:val="center"/>
      </w:pPr>
    </w:p>
    <w:p w:rsidR="00EC21A0" w:rsidRDefault="00EC21A0" w:rsidP="008E11A3">
      <w:pPr>
        <w:ind w:firstLine="0"/>
        <w:jc w:val="center"/>
      </w:pPr>
    </w:p>
    <w:p w:rsidR="00EC21A0" w:rsidRDefault="00EC21A0" w:rsidP="008E11A3">
      <w:pPr>
        <w:ind w:firstLine="0"/>
        <w:jc w:val="center"/>
      </w:pPr>
      <w:r>
        <w:t>Новосибирск 20</w:t>
      </w:r>
      <w:r w:rsidRPr="00FB6CE7">
        <w:t>1</w:t>
      </w:r>
      <w:r>
        <w:t>4</w:t>
      </w:r>
    </w:p>
    <w:p w:rsidR="00EC21A0" w:rsidRDefault="00EC21A0" w:rsidP="000B5312">
      <w:pPr>
        <w:spacing w:line="240" w:lineRule="auto"/>
        <w:ind w:firstLine="0"/>
      </w:pPr>
      <w:r>
        <w:t>Тема контрольной работы «Расчет основных налогов, учитываемых при определении прибыли, остающейся в распоряжении предприятия».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Постановка задачи.</w:t>
      </w:r>
    </w:p>
    <w:p w:rsidR="00EC21A0" w:rsidRDefault="00EC21A0" w:rsidP="000B5312">
      <w:pPr>
        <w:spacing w:line="240" w:lineRule="auto"/>
        <w:ind w:firstLine="0"/>
      </w:pPr>
      <w:r>
        <w:t xml:space="preserve"> На основе изучения нормативного материала по налогообложению организаций обосновать принимаемые решения и выполнить необходимые расчеты для определения прибыли, остающейся в распоряжении предприятия, по результатам производственно-финансовой деятельности за 1 квартал. Исходные данные приведены в таблице 1. В этой таблице ставки налогов не указаны, так как они должны соответствовать действующим на момент выполнения КР.</w:t>
      </w:r>
    </w:p>
    <w:p w:rsidR="00EC21A0" w:rsidRDefault="00EC21A0" w:rsidP="000B5312">
      <w:pPr>
        <w:spacing w:line="240" w:lineRule="auto"/>
        <w:ind w:firstLine="0"/>
      </w:pPr>
    </w:p>
    <w:p w:rsidR="00EC21A0" w:rsidRPr="000B5312" w:rsidRDefault="00EC21A0" w:rsidP="000B5312">
      <w:pPr>
        <w:spacing w:line="240" w:lineRule="auto"/>
        <w:ind w:firstLine="0"/>
      </w:pPr>
      <w:r w:rsidRPr="000B5312">
        <w:t>Таблица 1 – Исходные данные*</w:t>
      </w: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Наименование показателей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1 Объем производства и реализации, всего, тыс. ед.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11,8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2 Поступление денежных средств,  тыс. руб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от долевого участия (от российской организации)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от долевого участия (от иностранной организации)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от сдачи имущества в аренду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от реализации имущества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заемные средства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220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3 Расходы, отнесенные на себестоимость, тыс. руб.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оплата труда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713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материалы, запасные части, амортизационные отчисления, расходы на электроэнергию со стороны для производственных нужд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1782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командировочные расходы, всего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в том числе по установленным нормам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расходы по рекламе</w:t>
            </w:r>
            <w:r>
              <w:rPr>
                <w:szCs w:val="22"/>
              </w:rPr>
              <w:t xml:space="preserve"> </w:t>
            </w:r>
            <w:r w:rsidRPr="000B5312">
              <w:rPr>
                <w:szCs w:val="22"/>
              </w:rPr>
              <w:t xml:space="preserve"> (нормируемые)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расходы на подготовку кадров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компенсация за использование личных автомобилей в служебных целях, всего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в т.ч. в пределах установленных норм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прочие расходы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4 Прочие исходные данные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стоимость имущества предприятия, тыс. руб. на 1.01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4300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на 1.04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4300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доля арендного процента (прибыли) в составе арендной платы, %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остаточная стоимость реализованного имущества, тыс. руб.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цена реализации единицы  продукции, соответствующая уровню рыночных цен с НДС,  руб.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420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срок кредита, мес.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ставка рефинансирования Центробанка, %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ставка ссудного процента за кредит, %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</w:tr>
      <w:tr w:rsidR="00EC21A0" w:rsidTr="000B5312">
        <w:tc>
          <w:tcPr>
            <w:tcW w:w="4785" w:type="dxa"/>
          </w:tcPr>
          <w:p w:rsidR="00EC21A0" w:rsidRPr="000B5312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0B5312">
              <w:rPr>
                <w:szCs w:val="22"/>
              </w:rPr>
              <w:t>- расходы по внереализационным операциям, тыс. руб.</w:t>
            </w:r>
          </w:p>
        </w:tc>
        <w:tc>
          <w:tcPr>
            <w:tcW w:w="4786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</w:tr>
    </w:tbl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>Примечания: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  <w:jc w:val="left"/>
      </w:pPr>
      <w:r>
        <w:t xml:space="preserve"> 1. Вся произведенная продукция отгружена и оплачена в отчетном периоде</w:t>
      </w:r>
    </w:p>
    <w:p w:rsidR="00EC21A0" w:rsidRDefault="00EC21A0" w:rsidP="000B5312">
      <w:pPr>
        <w:spacing w:line="240" w:lineRule="auto"/>
        <w:ind w:firstLine="0"/>
        <w:jc w:val="left"/>
      </w:pPr>
      <w:r>
        <w:t xml:space="preserve"> 2. В случае реализации имущества с убытком исходные данные необходимо дополнить информацией о нормативном и фактическом сроках эксплуатации данного имущества и дате его реализации</w:t>
      </w:r>
    </w:p>
    <w:p w:rsidR="00EC21A0" w:rsidRDefault="00EC21A0" w:rsidP="000B5312">
      <w:pPr>
        <w:spacing w:line="240" w:lineRule="auto"/>
        <w:ind w:firstLine="0"/>
        <w:jc w:val="left"/>
      </w:pP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Рекомендуемая последовательность расчетов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>1. Определение доходов организации из различных источников, подлежащих обложению налогом на прибыль. Расчет начисленной суммы налога на добавленную стоимость.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2. Расчет суммы налога на прибыль по дивидендам, полученным от российской организации или иностранной.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3. Определение общей суммы затрат на производство и реализацию, принимаемых для налогообложения прибыли.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4. Определение внереализационных доходов и расходов, принимаемых для налогообложения.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5. Определение налоговой базы и суммы налога на прибыль.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6. Определение прибыли, остающейся в распоряжении организации.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>4 Методические указания к выполнению контрольной работы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4.1 Определение доходов организации из различных источников, подлежащих обложению налогом на прибыль.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Расчет начисленной суммы НДС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При определении налоговой базы по налогу на прибыль необходимо учитывать, что не все доходы и расходы организации принимаются для налогообложения. С позиций налогового учета доходы делятся на доходы от реализации, внереализационные доходы и доходы, не учитываемые при определении налоговой базы. Состав этих доходов представлен на рисунке 1. 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При определении величины дохода необходимо учесть, что в распоряжении предприятия остается только часть от полученной суммы, то есть за вычетом налога на добавленную стоимость (НДС). В обороты, облагаемые НДС, включаются любые полученные организацией средства, если их получение связано с расчетами по оплате товаров, работ, услуг. Реализация товаров, работ и услуг производится по свободным отпускным ценам и тарифам, увеличенным на сумму НДС, по государственным регулируемым ценам и тарифам, увеличенным на сумму НДС, по государственным регулируемым ценам и тарифам, включающим в себя НДС.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К оборотам, облагаемым НДС, относятся также обороты по реализации товаров, работ и услуг в обмен на другие товары, работы, услуги и обороты по безвозмездной передаче или с частичной оплатой другим предприятиям или  физическим  лицам,  включая работников предприятия.  При безвозмездной передаче используются средние цены реализации такой же или аналогичной продукции, рассчитанные за месяц, в котором осуществилась сделка. Плательщиком НДС является передающая сторона.</w:t>
      </w:r>
    </w:p>
    <w:p w:rsidR="00EC21A0" w:rsidRDefault="00EC21A0" w:rsidP="000B5312">
      <w:pPr>
        <w:spacing w:line="240" w:lineRule="auto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461.25pt">
            <v:imagedata r:id="rId7" o:title=""/>
          </v:shape>
        </w:pic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 w:rsidRPr="000B5312">
        <w:t>Рисунок 1 – Классификация доходов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>При реализации основных средств, иного имущества, по которым начисляется износ, за себестоимость принимается их остаточная стоимость. В случае реализации по ценам ниже себестоимости для целей налогообложения следует выполнить проверку их соответствия требованиям статьи 40 НК, т.е. оценить степень отклонения от рыночной цены и принять соответствующее решение о необходимости доначисления НДС.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Для определения суммы НДС, входящей в состав выручки, полученной при реализации продукции или от какой-либо другой операции, необходимо воспользоваться формулами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pict>
          <v:shape id="_x0000_i1026" type="#_x0000_t75" style="width:465.75pt;height:198.75pt">
            <v:imagedata r:id="rId8" o:title=""/>
          </v:shape>
        </w:pic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 w:rsidRPr="00C6452B">
        <w:t>Таблица 2 - Расчет суммы НДС, тыс. руб.</w:t>
      </w:r>
    </w:p>
    <w:tbl>
      <w:tblPr>
        <w:tblStyle w:val="TableGrid"/>
        <w:tblW w:w="0" w:type="auto"/>
        <w:tblLook w:val="01E0"/>
      </w:tblPr>
      <w:tblGrid>
        <w:gridCol w:w="2965"/>
        <w:gridCol w:w="2202"/>
        <w:gridCol w:w="2202"/>
        <w:gridCol w:w="2202"/>
      </w:tblGrid>
      <w:tr w:rsidR="00EC21A0" w:rsidTr="00C6452B">
        <w:tc>
          <w:tcPr>
            <w:tcW w:w="2965" w:type="dxa"/>
          </w:tcPr>
          <w:p w:rsidR="00EC21A0" w:rsidRPr="00C6452B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Вид дохода</w:t>
            </w:r>
          </w:p>
        </w:tc>
        <w:tc>
          <w:tcPr>
            <w:tcW w:w="2202" w:type="dxa"/>
          </w:tcPr>
          <w:p w:rsidR="00EC21A0" w:rsidRPr="00C6452B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Сумма выручки, полученная от покупателя</w:t>
            </w:r>
          </w:p>
        </w:tc>
        <w:tc>
          <w:tcPr>
            <w:tcW w:w="2202" w:type="dxa"/>
          </w:tcPr>
          <w:p w:rsidR="00EC21A0" w:rsidRPr="00C6452B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Сумма НДС</w:t>
            </w:r>
          </w:p>
        </w:tc>
        <w:tc>
          <w:tcPr>
            <w:tcW w:w="2202" w:type="dxa"/>
          </w:tcPr>
          <w:p w:rsidR="00EC21A0" w:rsidRPr="00C6452B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Выручка без НДС</w:t>
            </w:r>
          </w:p>
        </w:tc>
      </w:tr>
      <w:tr w:rsidR="00EC21A0" w:rsidTr="00C6452B">
        <w:tc>
          <w:tcPr>
            <w:tcW w:w="2965" w:type="dxa"/>
          </w:tcPr>
          <w:p w:rsidR="00EC21A0" w:rsidRPr="00C6452B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1 Доходы от реализации товаров</w:t>
            </w:r>
          </w:p>
        </w:tc>
        <w:tc>
          <w:tcPr>
            <w:tcW w:w="2202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2202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2202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2965" w:type="dxa"/>
          </w:tcPr>
          <w:p w:rsidR="00EC21A0" w:rsidRPr="00C6452B" w:rsidRDefault="00EC21A0" w:rsidP="000B5312">
            <w:pPr>
              <w:spacing w:line="240" w:lineRule="auto"/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2 .  .  .</w:t>
            </w:r>
          </w:p>
        </w:tc>
        <w:tc>
          <w:tcPr>
            <w:tcW w:w="2202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2202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2202" w:type="dxa"/>
          </w:tcPr>
          <w:p w:rsidR="00EC21A0" w:rsidRDefault="00EC21A0" w:rsidP="000B5312">
            <w:pPr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EC21A0" w:rsidRDefault="00EC21A0" w:rsidP="000B5312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>4.2 Налогообложение дивидендов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Дивиденды, полученные от иностранной организации, облагаются налогом  по ставке  15%,  а сумма  налога исчисляется  самим налогоплательщиком исходя из полученной суммы дивидендов. Если дивиденды получены от российской организации, то сумма налога исчисляется налоговым агентом исходя из ставки 6% и подлежит удержанию из дохода налогоплательщика.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 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>4.3 Определение общей суммы затрат на производство и реализацию, принимаемых для налогообложения прибыли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>Расходы организации делятся на группы, состав которых представлен на рисунке 2.</w:t>
      </w:r>
    </w:p>
    <w:p w:rsidR="00EC21A0" w:rsidRPr="00C6452B" w:rsidRDefault="00EC21A0" w:rsidP="00C6452B">
      <w:pPr>
        <w:spacing w:line="240" w:lineRule="auto"/>
        <w:ind w:firstLine="0"/>
      </w:pPr>
      <w:r>
        <w:pict>
          <v:shape id="_x0000_i1027" type="#_x0000_t75" style="width:412.5pt;height:516.75pt">
            <v:imagedata r:id="rId9" o:title=""/>
          </v:shape>
        </w:pict>
      </w:r>
    </w:p>
    <w:p w:rsidR="00EC21A0" w:rsidRPr="00C6452B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  <w:r>
        <w:t xml:space="preserve">  </w:t>
      </w:r>
      <w:r w:rsidRPr="00C6452B">
        <w:t>Рисунок 2 – Классификация расходов</w:t>
      </w:r>
    </w:p>
    <w:p w:rsidR="00EC21A0" w:rsidRDefault="00EC21A0" w:rsidP="000B5312">
      <w:pPr>
        <w:spacing w:line="240" w:lineRule="auto"/>
        <w:ind w:firstLine="0"/>
      </w:pPr>
    </w:p>
    <w:p w:rsidR="00EC21A0" w:rsidRDefault="00EC21A0" w:rsidP="000B5312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>Расходы, связанные с производством и реализацией подразделяются по следующим экономическим элементам:</w:t>
      </w:r>
    </w:p>
    <w:p w:rsidR="00EC21A0" w:rsidRDefault="00EC21A0" w:rsidP="00C6452B">
      <w:pPr>
        <w:spacing w:line="240" w:lineRule="auto"/>
        <w:ind w:firstLine="0"/>
      </w:pPr>
      <w:r>
        <w:t>• материальные расходы;</w:t>
      </w:r>
    </w:p>
    <w:p w:rsidR="00EC21A0" w:rsidRDefault="00EC21A0" w:rsidP="00C6452B">
      <w:pPr>
        <w:spacing w:line="240" w:lineRule="auto"/>
        <w:ind w:firstLine="0"/>
      </w:pPr>
      <w:r>
        <w:t>• расходы на оплату труда;</w:t>
      </w:r>
    </w:p>
    <w:p w:rsidR="00EC21A0" w:rsidRDefault="00EC21A0" w:rsidP="00C6452B">
      <w:pPr>
        <w:spacing w:line="240" w:lineRule="auto"/>
        <w:ind w:firstLine="0"/>
      </w:pPr>
      <w:r>
        <w:t>• амортизационные отчисления;</w:t>
      </w:r>
    </w:p>
    <w:p w:rsidR="00EC21A0" w:rsidRDefault="00EC21A0" w:rsidP="00C6452B">
      <w:pPr>
        <w:spacing w:line="240" w:lineRule="auto"/>
        <w:ind w:firstLine="0"/>
      </w:pPr>
      <w:r>
        <w:t>• прочие расходы.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В составе прочих расходов в контрольной работе следует обратить внимание на следующие: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• суммы  налогов и  сборов,  начисленные в соответствии с    законодательством (за исключением возвратных налогов и налога на прибыль);</w:t>
      </w:r>
    </w:p>
    <w:p w:rsidR="00EC21A0" w:rsidRDefault="00EC21A0" w:rsidP="00C6452B">
      <w:pPr>
        <w:spacing w:line="240" w:lineRule="auto"/>
        <w:ind w:firstLine="0"/>
      </w:pPr>
      <w:r>
        <w:t xml:space="preserve"> • нормируемые расходы (расходы на подготовку кадров, суточные в составе расходов на командировки, компенсации за использование личного автотранспорта в служебных целях, представительские расходы, расходы на рекламу). Эти расходы принимаются к  налогообложению только в пределах установленных норм;</w:t>
      </w:r>
    </w:p>
    <w:p w:rsidR="00EC21A0" w:rsidRDefault="00EC21A0" w:rsidP="00C6452B">
      <w:pPr>
        <w:spacing w:line="240" w:lineRule="auto"/>
        <w:ind w:firstLine="0"/>
      </w:pPr>
      <w:r>
        <w:t xml:space="preserve"> • убытки от реализации имущества.</w:t>
      </w:r>
    </w:p>
    <w:p w:rsidR="00EC21A0" w:rsidRDefault="00EC21A0" w:rsidP="00C6452B">
      <w:pPr>
        <w:spacing w:line="240" w:lineRule="auto"/>
        <w:ind w:firstLine="0"/>
      </w:pPr>
      <w:r>
        <w:t>По условию контрольной работы в составе прочих расходов необходимо рассчитать следующие налоги:</w:t>
      </w:r>
    </w:p>
    <w:p w:rsidR="00EC21A0" w:rsidRDefault="00EC21A0" w:rsidP="00C6452B">
      <w:pPr>
        <w:spacing w:line="240" w:lineRule="auto"/>
        <w:ind w:firstLine="0"/>
      </w:pPr>
      <w:r>
        <w:t xml:space="preserve"> • единый социальный налог и отчисления в фонд страхования от несчастных случаев на производстве и травматизма (ЕСН+);</w:t>
      </w:r>
    </w:p>
    <w:p w:rsidR="00EC21A0" w:rsidRDefault="00EC21A0" w:rsidP="00C6452B">
      <w:pPr>
        <w:spacing w:line="240" w:lineRule="auto"/>
        <w:ind w:firstLine="0"/>
      </w:pPr>
      <w:r>
        <w:t xml:space="preserve"> • налог на имущество организации (Ним);</w:t>
      </w:r>
    </w:p>
    <w:p w:rsidR="00EC21A0" w:rsidRDefault="00EC21A0" w:rsidP="00C6452B">
      <w:pPr>
        <w:spacing w:line="240" w:lineRule="auto"/>
        <w:ind w:firstLine="0"/>
      </w:pPr>
      <w:r>
        <w:t xml:space="preserve"> • налог на рекламу (Нр) (если но условию есть расходы на рекламу).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Для определения ЕСН+ используются средства на оплату труда и установленная ставка (28+4+3,6+0,2%).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Налог на имущество организаций рассчитывается по следующим формулам</w:t>
      </w:r>
    </w:p>
    <w:p w:rsidR="00EC21A0" w:rsidRDefault="00EC21A0" w:rsidP="00C6452B">
      <w:pPr>
        <w:spacing w:line="240" w:lineRule="auto"/>
        <w:ind w:firstLine="0"/>
      </w:pPr>
      <w:r>
        <w:pict>
          <v:shape id="_x0000_i1028" type="#_x0000_t75" style="width:467.25pt;height:224.25pt">
            <v:imagedata r:id="rId10" o:title=""/>
          </v:shape>
        </w:pict>
      </w:r>
    </w:p>
    <w:p w:rsidR="00EC21A0" w:rsidRDefault="00EC21A0" w:rsidP="00C6452B">
      <w:pPr>
        <w:spacing w:line="240" w:lineRule="auto"/>
        <w:ind w:firstLine="0"/>
      </w:pPr>
      <w:r>
        <w:t>4.4 Определение внереализационных доходов и расходов, принимаемых для налогообложения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Из всех поступивших доходов выбираем внереализационные, а из них - подлежащие обложению налогом на прибыль по основной ставке, в соответствии с классификацией, представленной на рисунке 1. Аналогичным образом определяем внереализационные расходы, принимаемые для налогообложения с учетом особенностей по отдельным их видам.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t xml:space="preserve"> Платежи за пользование кредитом банка включаются в состав внереализационных расходов и принимаются для целей налогообложения в пределах ставки рефинансирования ЦБР с коэффициентом 1,1. Они рассчитываются по формуле</w:t>
      </w: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</w:p>
    <w:p w:rsidR="00EC21A0" w:rsidRDefault="00EC21A0" w:rsidP="00C6452B">
      <w:pPr>
        <w:spacing w:line="240" w:lineRule="auto"/>
        <w:ind w:firstLine="0"/>
      </w:pPr>
      <w:r>
        <w:pict>
          <v:shape id="_x0000_i1029" type="#_x0000_t75" style="width:430.5pt;height:237.75pt">
            <v:imagedata r:id="rId11" o:title=""/>
          </v:shape>
        </w:pict>
      </w:r>
    </w:p>
    <w:p w:rsidR="00EC21A0" w:rsidRPr="00C6452B" w:rsidRDefault="00EC21A0" w:rsidP="00C6452B"/>
    <w:p w:rsidR="00EC21A0" w:rsidRDefault="00EC21A0" w:rsidP="00C6452B"/>
    <w:p w:rsidR="00EC21A0" w:rsidRDefault="00EC21A0" w:rsidP="00C6452B">
      <w:r>
        <w:t>4.5 Определение налоговой базы и суммы налога на прибыль</w:t>
      </w:r>
    </w:p>
    <w:p w:rsidR="00EC21A0" w:rsidRDefault="00EC21A0" w:rsidP="00C6452B"/>
    <w:p w:rsidR="00EC21A0" w:rsidRDefault="00EC21A0" w:rsidP="00C6452B">
      <w:pPr>
        <w:spacing w:line="240" w:lineRule="auto"/>
        <w:ind w:firstLine="0"/>
      </w:pPr>
      <w:r>
        <w:t xml:space="preserve"> Расчет налоговой базы произвести в таблице 3. Но прежде, чем ее заполнить, привести расчет показателей 1, 2, 3, 4, 5 из этой таблицы.</w:t>
      </w:r>
    </w:p>
    <w:p w:rsidR="00EC21A0" w:rsidRDefault="00EC21A0" w:rsidP="00C6452B">
      <w:pPr>
        <w:ind w:firstLine="0"/>
      </w:pPr>
    </w:p>
    <w:p w:rsidR="00EC21A0" w:rsidRDefault="00EC21A0" w:rsidP="00C6452B">
      <w:pPr>
        <w:ind w:firstLine="0"/>
      </w:pPr>
      <w:r>
        <w:t>Таблица 3 - Расчет налоговой базы по налогу на прибыль</w:t>
      </w: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EC21A0" w:rsidTr="00C6452B">
        <w:tc>
          <w:tcPr>
            <w:tcW w:w="4785" w:type="dxa"/>
          </w:tcPr>
          <w:p w:rsidR="00EC21A0" w:rsidRPr="00C6452B" w:rsidRDefault="00EC21A0" w:rsidP="00C6452B">
            <w:pPr>
              <w:ind w:firstLine="0"/>
              <w:rPr>
                <w:szCs w:val="22"/>
              </w:rPr>
            </w:pPr>
            <w:r w:rsidRPr="00C6452B">
              <w:rPr>
                <w:szCs w:val="22"/>
              </w:rPr>
              <w:t>Показатели, формирующие НБ</w:t>
            </w:r>
          </w:p>
        </w:tc>
        <w:tc>
          <w:tcPr>
            <w:tcW w:w="4786" w:type="dxa"/>
          </w:tcPr>
          <w:p w:rsidR="00EC21A0" w:rsidRPr="00C45F69" w:rsidRDefault="00EC21A0" w:rsidP="00C6452B">
            <w:pPr>
              <w:ind w:firstLine="0"/>
              <w:rPr>
                <w:szCs w:val="22"/>
              </w:rPr>
            </w:pPr>
            <w:r w:rsidRPr="00C45F69">
              <w:rPr>
                <w:szCs w:val="22"/>
              </w:rPr>
              <w:t>Сумма, тыс. руб.</w:t>
            </w:r>
          </w:p>
        </w:tc>
      </w:tr>
      <w:tr w:rsidR="00EC21A0" w:rsidTr="00C6452B">
        <w:tc>
          <w:tcPr>
            <w:tcW w:w="4785" w:type="dxa"/>
          </w:tcPr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1 Доходы от реализации в том числе:</w:t>
            </w:r>
          </w:p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- товаров собственного производства;</w:t>
            </w:r>
          </w:p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- основных средств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4785" w:type="dxa"/>
          </w:tcPr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2 Расходы в отчетном периоде, уменьшающие сумму доходов от реализации в том числе</w:t>
            </w:r>
          </w:p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- по товарам собственного производства;</w:t>
            </w:r>
          </w:p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- по основным средствам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4785" w:type="dxa"/>
          </w:tcPr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3 Прибыль (убытки) от реализации в том числе</w:t>
            </w:r>
          </w:p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- товаров собственного производства;</w:t>
            </w:r>
          </w:p>
          <w:p w:rsidR="00EC21A0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- основных средств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4785" w:type="dxa"/>
          </w:tcPr>
          <w:p w:rsidR="00EC21A0" w:rsidRPr="00C45F69" w:rsidRDefault="00EC21A0" w:rsidP="00C6452B">
            <w:pPr>
              <w:ind w:firstLine="0"/>
              <w:rPr>
                <w:szCs w:val="22"/>
              </w:rPr>
            </w:pPr>
            <w:r w:rsidRPr="00C45F69">
              <w:rPr>
                <w:szCs w:val="22"/>
              </w:rPr>
              <w:t>4 Сумма внереализационных доходов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4785" w:type="dxa"/>
          </w:tcPr>
          <w:p w:rsidR="00EC21A0" w:rsidRPr="00C45F69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C45F69">
              <w:rPr>
                <w:szCs w:val="22"/>
              </w:rPr>
              <w:t>5 Сумма внереализационных расходов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4785" w:type="dxa"/>
          </w:tcPr>
          <w:p w:rsidR="00EC21A0" w:rsidRPr="00C45F69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C45F69">
              <w:rPr>
                <w:szCs w:val="22"/>
              </w:rPr>
              <w:t>6 Прибыль (убыток) от внереализационных операций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  <w:tr w:rsidR="00EC21A0" w:rsidTr="00C6452B">
        <w:tc>
          <w:tcPr>
            <w:tcW w:w="4785" w:type="dxa"/>
          </w:tcPr>
          <w:p w:rsidR="00EC21A0" w:rsidRPr="00C45F69" w:rsidRDefault="00EC21A0" w:rsidP="00C45F69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C45F69">
              <w:rPr>
                <w:szCs w:val="22"/>
              </w:rPr>
              <w:t>7 Итого налоговая база за отчетный период</w:t>
            </w:r>
          </w:p>
        </w:tc>
        <w:tc>
          <w:tcPr>
            <w:tcW w:w="4786" w:type="dxa"/>
          </w:tcPr>
          <w:p w:rsidR="00EC21A0" w:rsidRDefault="00EC21A0" w:rsidP="00C6452B">
            <w:pPr>
              <w:ind w:firstLine="0"/>
              <w:rPr>
                <w:szCs w:val="22"/>
              </w:rPr>
            </w:pPr>
          </w:p>
        </w:tc>
      </w:tr>
    </w:tbl>
    <w:p w:rsidR="00EC21A0" w:rsidRDefault="00EC21A0" w:rsidP="00C6452B">
      <w:pPr>
        <w:ind w:firstLine="0"/>
      </w:pPr>
    </w:p>
    <w:p w:rsidR="00EC21A0" w:rsidRDefault="00EC21A0" w:rsidP="00C6452B">
      <w:pPr>
        <w:ind w:firstLine="0"/>
      </w:pPr>
      <w:r w:rsidRPr="00C45F69">
        <w:t>Сумма налога на прибыль определяется по формуле</w:t>
      </w:r>
    </w:p>
    <w:p w:rsidR="00EC21A0" w:rsidRDefault="00EC21A0" w:rsidP="00C6452B">
      <w:pPr>
        <w:ind w:firstLine="0"/>
      </w:pPr>
      <w:r>
        <w:pict>
          <v:shape id="_x0000_i1030" type="#_x0000_t75" style="width:207.75pt;height:117.75pt">
            <v:imagedata r:id="rId12" o:title=""/>
          </v:shape>
        </w:pict>
      </w:r>
    </w:p>
    <w:p w:rsidR="00EC21A0" w:rsidRDefault="00EC21A0" w:rsidP="00C6452B">
      <w:pPr>
        <w:ind w:firstLine="0"/>
      </w:pPr>
    </w:p>
    <w:p w:rsidR="00EC21A0" w:rsidRDefault="00EC21A0" w:rsidP="00C45F69">
      <w:pPr>
        <w:ind w:firstLine="0"/>
      </w:pPr>
      <w:r>
        <w:t>4.6 Определение прибыли, остающейся в распоряжении организации</w:t>
      </w:r>
    </w:p>
    <w:p w:rsidR="00EC21A0" w:rsidRDefault="00EC21A0" w:rsidP="00C45F69">
      <w:pPr>
        <w:ind w:firstLine="0"/>
      </w:pPr>
    </w:p>
    <w:p w:rsidR="00EC21A0" w:rsidRDefault="00EC21A0" w:rsidP="00C45F69">
      <w:pPr>
        <w:spacing w:line="240" w:lineRule="auto"/>
        <w:ind w:firstLine="0"/>
      </w:pPr>
      <w:r>
        <w:t xml:space="preserve"> Прибыль, остающаяся в распоряжении организации после уплаты налогов, определяется по формуле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 w:rsidRPr="00C45F69">
        <w:t>П</w:t>
      </w:r>
      <w:r>
        <w:pict>
          <v:shape id="_x0000_i1031" type="#_x0000_t75" style="width:109.5pt;height:15pt">
            <v:imagedata r:id="rId13" o:title=""/>
          </v:shape>
        </w:pict>
      </w:r>
      <w:r>
        <w:t xml:space="preserve"> </w:t>
      </w:r>
      <w:r w:rsidRPr="00C45F69">
        <w:t>, (7)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 w:rsidRPr="00C45F69">
        <w:t>где П - прибыль до налогообложения;</w:t>
      </w:r>
    </w:p>
    <w:p w:rsidR="00EC21A0" w:rsidRDefault="00EC21A0" w:rsidP="00C45F69">
      <w:pPr>
        <w:spacing w:line="240" w:lineRule="auto"/>
        <w:ind w:firstLine="0"/>
      </w:pPr>
      <w:r w:rsidRPr="00C45F69">
        <w:t>НДС</w:t>
      </w:r>
      <w:r w:rsidRPr="00C45F69">
        <w:rPr>
          <w:vertAlign w:val="subscript"/>
        </w:rPr>
        <w:t>1</w:t>
      </w:r>
      <w:r w:rsidRPr="00C45F69">
        <w:t>- НДС, возмещаемый за счет собственных источников.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>
        <w:t>Рекомендуемая литература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>
        <w:t xml:space="preserve"> 1. Налоговый кодекс, часть 1, 2.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>
        <w:t xml:space="preserve"> 2. О.В.Терещенко, С.Д.Надеждина, Е.П.Картавцева. Налоги и налоговая система: Учеб. пособие - Новосибирск: НГАЭИУ, 2003.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>
        <w:t xml:space="preserve"> 3. Налоги: Учеб. пособие / Под ред. Д.Г.Черника - М.: Финансы и статистика.</w:t>
      </w:r>
    </w:p>
    <w:p w:rsidR="00EC21A0" w:rsidRDefault="00EC21A0" w:rsidP="00C45F69">
      <w:pPr>
        <w:spacing w:line="240" w:lineRule="auto"/>
        <w:ind w:firstLine="0"/>
      </w:pPr>
    </w:p>
    <w:p w:rsidR="00EC21A0" w:rsidRDefault="00EC21A0" w:rsidP="00C45F69">
      <w:pPr>
        <w:spacing w:line="240" w:lineRule="auto"/>
        <w:ind w:firstLine="0"/>
      </w:pPr>
      <w:r>
        <w:t xml:space="preserve"> 4. Н.В.Миляков. Налоги и налогообложение: Курс лекций. - М.: ИНФРА - М,1999.</w:t>
      </w:r>
    </w:p>
    <w:p w:rsidR="00EC21A0" w:rsidRDefault="00EC21A0" w:rsidP="00C45F69">
      <w:pPr>
        <w:spacing w:line="240" w:lineRule="auto"/>
        <w:ind w:firstLine="0"/>
      </w:pPr>
    </w:p>
    <w:p w:rsidR="00EC21A0" w:rsidRPr="00C45F69" w:rsidRDefault="00EC21A0" w:rsidP="00C45F69">
      <w:pPr>
        <w:spacing w:line="240" w:lineRule="auto"/>
        <w:ind w:firstLine="0"/>
      </w:pPr>
      <w:r>
        <w:t xml:space="preserve"> 5. Д.Г.Черник, В.П.Морозов. Оптимизация налогообложения - М.: Проспект, 2002.</w:t>
      </w:r>
    </w:p>
    <w:sectPr w:rsidR="00EC21A0" w:rsidRPr="00C45F69" w:rsidSect="00A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A0" w:rsidRDefault="00EC21A0">
      <w:r>
        <w:separator/>
      </w:r>
    </w:p>
  </w:endnote>
  <w:endnote w:type="continuationSeparator" w:id="0">
    <w:p w:rsidR="00EC21A0" w:rsidRDefault="00EC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A0" w:rsidRDefault="00EC21A0">
      <w:r>
        <w:separator/>
      </w:r>
    </w:p>
  </w:footnote>
  <w:footnote w:type="continuationSeparator" w:id="0">
    <w:p w:rsidR="00EC21A0" w:rsidRDefault="00EC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802"/>
    <w:multiLevelType w:val="hybridMultilevel"/>
    <w:tmpl w:val="15C81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C423380"/>
    <w:multiLevelType w:val="multilevel"/>
    <w:tmpl w:val="F984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D66C01"/>
    <w:multiLevelType w:val="hybridMultilevel"/>
    <w:tmpl w:val="3F1438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38E5141"/>
    <w:multiLevelType w:val="hybridMultilevel"/>
    <w:tmpl w:val="BC86D6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7FB"/>
    <w:rsid w:val="00017272"/>
    <w:rsid w:val="0003198C"/>
    <w:rsid w:val="00062E47"/>
    <w:rsid w:val="0007515F"/>
    <w:rsid w:val="00082641"/>
    <w:rsid w:val="00087A78"/>
    <w:rsid w:val="000B5312"/>
    <w:rsid w:val="000C598C"/>
    <w:rsid w:val="000E6E87"/>
    <w:rsid w:val="000F7C81"/>
    <w:rsid w:val="00125D84"/>
    <w:rsid w:val="00141A5A"/>
    <w:rsid w:val="00152B0F"/>
    <w:rsid w:val="00174645"/>
    <w:rsid w:val="00181857"/>
    <w:rsid w:val="00192691"/>
    <w:rsid w:val="001B1108"/>
    <w:rsid w:val="001C2E52"/>
    <w:rsid w:val="001D77CB"/>
    <w:rsid w:val="00236EB4"/>
    <w:rsid w:val="0023726A"/>
    <w:rsid w:val="00262F9C"/>
    <w:rsid w:val="00265CBD"/>
    <w:rsid w:val="00277FC5"/>
    <w:rsid w:val="002968F4"/>
    <w:rsid w:val="002A224A"/>
    <w:rsid w:val="002E3ECF"/>
    <w:rsid w:val="002F0B04"/>
    <w:rsid w:val="002F3285"/>
    <w:rsid w:val="00336A44"/>
    <w:rsid w:val="0034110A"/>
    <w:rsid w:val="0035277F"/>
    <w:rsid w:val="00352DB6"/>
    <w:rsid w:val="00353E26"/>
    <w:rsid w:val="003716AE"/>
    <w:rsid w:val="003E79E2"/>
    <w:rsid w:val="00430C58"/>
    <w:rsid w:val="0043368F"/>
    <w:rsid w:val="00442854"/>
    <w:rsid w:val="00452D82"/>
    <w:rsid w:val="00463519"/>
    <w:rsid w:val="004B0FE9"/>
    <w:rsid w:val="004D599E"/>
    <w:rsid w:val="004E0E22"/>
    <w:rsid w:val="004E6D77"/>
    <w:rsid w:val="00507254"/>
    <w:rsid w:val="00552B10"/>
    <w:rsid w:val="00570C25"/>
    <w:rsid w:val="00596A55"/>
    <w:rsid w:val="005B10C4"/>
    <w:rsid w:val="005F4CAB"/>
    <w:rsid w:val="00663817"/>
    <w:rsid w:val="00691ACA"/>
    <w:rsid w:val="00697CC8"/>
    <w:rsid w:val="006A487E"/>
    <w:rsid w:val="006C2A61"/>
    <w:rsid w:val="006C5477"/>
    <w:rsid w:val="0071459E"/>
    <w:rsid w:val="0076396E"/>
    <w:rsid w:val="007C01F8"/>
    <w:rsid w:val="007C2225"/>
    <w:rsid w:val="007F2F3E"/>
    <w:rsid w:val="008C40DE"/>
    <w:rsid w:val="008C67FB"/>
    <w:rsid w:val="008E11A3"/>
    <w:rsid w:val="0090537F"/>
    <w:rsid w:val="00934B8C"/>
    <w:rsid w:val="00972128"/>
    <w:rsid w:val="0098103B"/>
    <w:rsid w:val="00985AA5"/>
    <w:rsid w:val="009B26FC"/>
    <w:rsid w:val="009C53CA"/>
    <w:rsid w:val="009D2424"/>
    <w:rsid w:val="00A110EC"/>
    <w:rsid w:val="00A131DB"/>
    <w:rsid w:val="00A14243"/>
    <w:rsid w:val="00A16D0E"/>
    <w:rsid w:val="00A2382A"/>
    <w:rsid w:val="00A4391F"/>
    <w:rsid w:val="00A64D34"/>
    <w:rsid w:val="00A76E54"/>
    <w:rsid w:val="00AC20F2"/>
    <w:rsid w:val="00AE66F4"/>
    <w:rsid w:val="00B021DE"/>
    <w:rsid w:val="00B11720"/>
    <w:rsid w:val="00BA24B4"/>
    <w:rsid w:val="00BB737D"/>
    <w:rsid w:val="00BD32B5"/>
    <w:rsid w:val="00BD74FC"/>
    <w:rsid w:val="00C20F64"/>
    <w:rsid w:val="00C45F69"/>
    <w:rsid w:val="00C61A21"/>
    <w:rsid w:val="00C6452B"/>
    <w:rsid w:val="00C73245"/>
    <w:rsid w:val="00CC5213"/>
    <w:rsid w:val="00CD24F4"/>
    <w:rsid w:val="00CE5D34"/>
    <w:rsid w:val="00D11F84"/>
    <w:rsid w:val="00D1306F"/>
    <w:rsid w:val="00D3321D"/>
    <w:rsid w:val="00D3620B"/>
    <w:rsid w:val="00D518D5"/>
    <w:rsid w:val="00D91657"/>
    <w:rsid w:val="00DC2CC3"/>
    <w:rsid w:val="00DD77BF"/>
    <w:rsid w:val="00DE7E2C"/>
    <w:rsid w:val="00DF42E6"/>
    <w:rsid w:val="00E01C52"/>
    <w:rsid w:val="00E22C1C"/>
    <w:rsid w:val="00E250A7"/>
    <w:rsid w:val="00E41899"/>
    <w:rsid w:val="00E53E3B"/>
    <w:rsid w:val="00E61A3C"/>
    <w:rsid w:val="00EC21A0"/>
    <w:rsid w:val="00EE667B"/>
    <w:rsid w:val="00F22D3B"/>
    <w:rsid w:val="00F45F44"/>
    <w:rsid w:val="00FB6CE7"/>
    <w:rsid w:val="00FD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8F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368F"/>
    <w:pPr>
      <w:keepNext/>
      <w:keepLines/>
      <w:spacing w:before="480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368F"/>
    <w:pPr>
      <w:keepNext/>
      <w:spacing w:before="240" w:after="240"/>
      <w:ind w:firstLine="0"/>
      <w:contextualSpacing w:val="0"/>
      <w:jc w:val="center"/>
      <w:outlineLvl w:val="1"/>
    </w:pPr>
    <w:rPr>
      <w:rFonts w:eastAsia="Times New Roman" w:cs="Arial"/>
      <w:b/>
      <w:bCs/>
      <w:iCs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368F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368F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368F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368F"/>
    <w:rPr>
      <w:rFonts w:ascii="Times New Roman" w:hAnsi="Times New Roman" w:cs="Times New Roman"/>
      <w:b/>
      <w:bCs/>
      <w:sz w:val="28"/>
    </w:rPr>
  </w:style>
  <w:style w:type="paragraph" w:customStyle="1" w:styleId="a">
    <w:name w:val="Для таблицы"/>
    <w:basedOn w:val="Normal"/>
    <w:uiPriority w:val="99"/>
    <w:rsid w:val="0043368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a0">
    <w:name w:val="Первый"/>
    <w:uiPriority w:val="99"/>
    <w:rsid w:val="0043368F"/>
    <w:pPr>
      <w:spacing w:line="360" w:lineRule="auto"/>
      <w:contextualSpacing/>
      <w:jc w:val="center"/>
    </w:pPr>
    <w:rPr>
      <w:rFonts w:ascii="Times New Roman" w:hAnsi="Times New Roman"/>
      <w:b/>
      <w:caps/>
      <w:sz w:val="28"/>
      <w:lang w:eastAsia="en-US"/>
    </w:rPr>
  </w:style>
  <w:style w:type="paragraph" w:customStyle="1" w:styleId="a1">
    <w:name w:val="Второй"/>
    <w:uiPriority w:val="99"/>
    <w:rsid w:val="0043368F"/>
    <w:pPr>
      <w:spacing w:after="200" w:line="360" w:lineRule="auto"/>
      <w:jc w:val="center"/>
    </w:pPr>
    <w:rPr>
      <w:rFonts w:ascii="Times New Roman" w:hAnsi="Times New Roman"/>
      <w:b/>
      <w:sz w:val="28"/>
      <w:lang w:eastAsia="en-US"/>
    </w:rPr>
  </w:style>
  <w:style w:type="paragraph" w:customStyle="1" w:styleId="a2">
    <w:name w:val="Нулевой"/>
    <w:uiPriority w:val="99"/>
    <w:rsid w:val="0043368F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customStyle="1" w:styleId="a3">
    <w:name w:val="для таблицы"/>
    <w:uiPriority w:val="99"/>
    <w:rsid w:val="0043368F"/>
    <w:pPr>
      <w:spacing w:after="200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99"/>
    <w:rsid w:val="00691A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8E11A3"/>
    <w:pPr>
      <w:spacing w:line="240" w:lineRule="auto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2691"/>
    <w:rPr>
      <w:rFonts w:ascii="Times New Roman" w:hAnsi="Times New Roman" w:cs="Times New Roman"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6A48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E2C"/>
    <w:rPr>
      <w:rFonts w:ascii="Times New Roman" w:hAnsi="Times New Roman" w:cs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6A48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E2C"/>
    <w:rPr>
      <w:rFonts w:ascii="Times New Roman" w:hAnsi="Times New Roman" w:cs="Times New Roman"/>
      <w:sz w:val="28"/>
      <w:lang w:eastAsia="en-US"/>
    </w:rPr>
  </w:style>
  <w:style w:type="paragraph" w:styleId="NormalWeb">
    <w:name w:val="Normal (Web)"/>
    <w:basedOn w:val="Normal"/>
    <w:uiPriority w:val="99"/>
    <w:rsid w:val="000C598C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746">
          <w:marLeft w:val="0"/>
          <w:marRight w:val="0"/>
          <w:marTop w:val="424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6763">
                      <w:marLeft w:val="127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760">
          <w:marLeft w:val="0"/>
          <w:marRight w:val="0"/>
          <w:marTop w:val="424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6747">
                      <w:marLeft w:val="127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625</TotalTime>
  <Pages>11</Pages>
  <Words>1432</Words>
  <Characters>8163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 Шарабарова</cp:lastModifiedBy>
  <cp:revision>65</cp:revision>
  <cp:lastPrinted>2014-09-29T08:33:00Z</cp:lastPrinted>
  <dcterms:created xsi:type="dcterms:W3CDTF">2014-06-26T08:41:00Z</dcterms:created>
  <dcterms:modified xsi:type="dcterms:W3CDTF">2014-10-09T07:34:00Z</dcterms:modified>
</cp:coreProperties>
</file>