
<file path=[Content_Types].xml><?xml version="1.0" encoding="utf-8"?>
<Types xmlns="http://schemas.openxmlformats.org/package/2006/content-types">
  <Default Extension="rels" ContentType="application/vnd.openxmlformats-package.relationships+xml"/>
  <Default Extension="xml" ContentType="application/xml"/>
  <Default Extension="gif" ContentType="image/gif"/>
  <Override PartName="/word/document.xml" ContentType="application/vnd.openxmlformats-officedocument.wordprocessingml.document.main+xml"/>
  <Override PartName="/word/numbering.xml" ContentType="application/vnd.openxmlformats-officedocument.wordprocessingml.numbering+xml"/>
  <Override PartName="/word/styles.xml" ContentType="application/vnd.openxmlformats-officedocument.wordprocessingml.styles+xml"/>
  <Override PartName="/word/stylesWithEffects.xml" ContentType="application/vnd.ms-word.stylesWithEffects+xml"/>
  <Override PartName="/word/settings.xml" ContentType="application/vnd.openxmlformats-officedocument.wordprocessingml.settings+xml"/>
  <Override PartName="/word/webSettings.xml" ContentType="application/vnd.openxmlformats-officedocument.wordprocessingml.webSettings+xml"/>
  <Override PartName="/word/fontTable.xml" ContentType="application/vnd.openxmlformats-officedocument.wordprocessingml.fontTable+xml"/>
  <Override PartName="/word/theme/theme1.xml" ContentType="application/vnd.openxmlformats-officedocument.theme+xml"/>
  <Override PartName="/docProps/core.xml" ContentType="application/vnd.openxmlformats-package.core-properties+xml"/>
  <Override PartName="/docProps/app.xml" ContentType="application/vnd.openxmlformats-officedocument.extended-properties+xml"/>
</Types>
</file>

<file path=_rels/.rels><?xml version="1.0" encoding="UTF-8" standalone="yes"?>
<Relationships xmlns="http://schemas.openxmlformats.org/package/2006/relationships"><Relationship Id="rId3" Type="http://schemas.openxmlformats.org/officeDocument/2006/relationships/extended-properties" Target="docProps/app.xml"/><Relationship Id="rId2" Type="http://schemas.openxmlformats.org/package/2006/relationships/metadata/core-properties" Target="docProps/core.xml"/><Relationship Id="rId1" Type="http://schemas.openxmlformats.org/officeDocument/2006/relationships/officeDocument" Target="word/document.xml"/></Relationships>
</file>

<file path=word/document.xml><?xml version="1.0" encoding="utf-8"?>
<w:document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body>
    <w:p w:rsidR="00B150BC" w:rsidRDefault="00B150BC">
      <w:r>
        <w:rPr>
          <w:rFonts w:ascii="Arial" w:hAnsi="Arial" w:cs="Arial"/>
        </w:rPr>
        <w:t>Объем контрольной работы должен быть не более 12 страниц.</w:t>
      </w:r>
    </w:p>
    <w:p w:rsidR="00BA3FBB" w:rsidRDefault="00B150BC">
      <w:r>
        <w:t xml:space="preserve">Теоретический вопрос: </w:t>
      </w:r>
      <w:r w:rsidR="00CD0BBA">
        <w:t>Издержки и цена, их взаимосвязь</w:t>
      </w:r>
    </w:p>
    <w:p w:rsidR="00CD0BBA" w:rsidRPr="00CD0BBA" w:rsidRDefault="00CD0BBA" w:rsidP="00CD0BBA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CD0BBA">
        <w:rPr>
          <w:rFonts w:ascii="Arial" w:eastAsia="Times New Roman" w:hAnsi="Arial" w:cs="Arial"/>
          <w:sz w:val="24"/>
          <w:szCs w:val="24"/>
          <w:lang w:eastAsia="ru-RU"/>
        </w:rPr>
        <w:t> </w:t>
      </w:r>
      <w:r w:rsidRPr="00CD0BBA">
        <w:rPr>
          <w:rFonts w:ascii="Arial" w:eastAsia="Times New Roman" w:hAnsi="Arial" w:cs="Arial"/>
          <w:sz w:val="24"/>
          <w:szCs w:val="24"/>
          <w:u w:val="single"/>
          <w:lang w:eastAsia="ru-RU"/>
        </w:rPr>
        <w:t xml:space="preserve">Задача №2 </w:t>
      </w:r>
    </w:p>
    <w:p w:rsidR="00CD0BBA" w:rsidRPr="00CD0BBA" w:rsidRDefault="00CD0BBA" w:rsidP="00CD0BB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0BBA">
        <w:rPr>
          <w:rFonts w:ascii="Arial" w:eastAsia="Times New Roman" w:hAnsi="Arial" w:cs="Arial"/>
          <w:sz w:val="24"/>
          <w:szCs w:val="24"/>
          <w:lang w:eastAsia="ru-RU"/>
        </w:rPr>
        <w:t>Определите:</w:t>
      </w:r>
      <w:r w:rsidRPr="00CD0BBA">
        <w:rPr>
          <w:rFonts w:ascii="Arial" w:eastAsia="Times New Roman" w:hAnsi="Arial" w:cs="Arial"/>
          <w:sz w:val="24"/>
          <w:szCs w:val="24"/>
          <w:lang w:eastAsia="ru-RU"/>
        </w:rPr>
        <w:br/>
        <w:t>а) прибыль, которую принесет реализация одного изделия;</w:t>
      </w:r>
      <w:r w:rsidRPr="00CD0BBA">
        <w:rPr>
          <w:rFonts w:ascii="Arial" w:eastAsia="Times New Roman" w:hAnsi="Arial" w:cs="Arial"/>
          <w:sz w:val="24"/>
          <w:szCs w:val="24"/>
          <w:lang w:eastAsia="ru-RU"/>
        </w:rPr>
        <w:br/>
        <w:t>б) свободную розничную цену изделия;</w:t>
      </w:r>
      <w:r w:rsidRPr="00CD0BBA">
        <w:rPr>
          <w:rFonts w:ascii="Arial" w:eastAsia="Times New Roman" w:hAnsi="Arial" w:cs="Arial"/>
          <w:sz w:val="24"/>
          <w:szCs w:val="24"/>
          <w:lang w:eastAsia="ru-RU"/>
        </w:rPr>
        <w:br/>
        <w:t xml:space="preserve">в) цену посредника. </w:t>
      </w:r>
    </w:p>
    <w:p w:rsidR="00CD0BBA" w:rsidRPr="00CD0BBA" w:rsidRDefault="00CD0BBA" w:rsidP="00CD0BBA">
      <w:pPr>
        <w:numPr>
          <w:ilvl w:val="0"/>
          <w:numId w:val="1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0BBA">
        <w:rPr>
          <w:rFonts w:ascii="Arial" w:eastAsia="Times New Roman" w:hAnsi="Arial" w:cs="Arial"/>
          <w:sz w:val="24"/>
          <w:szCs w:val="24"/>
          <w:lang w:eastAsia="ru-RU"/>
        </w:rPr>
        <w:t xml:space="preserve">. Составьте структуру оптовой и свободной розничной цен. </w:t>
      </w:r>
    </w:p>
    <w:p w:rsidR="00CD0BBA" w:rsidRDefault="00CD0BBA" w:rsidP="00CD0BBA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sz w:val="24"/>
          <w:szCs w:val="24"/>
          <w:lang w:eastAsia="ru-RU"/>
        </w:rPr>
        <w:t>Известны следующие данные:</w:t>
      </w:r>
      <w:r>
        <w:rPr>
          <w:rFonts w:ascii="Arial" w:eastAsia="Times New Roman" w:hAnsi="Arial" w:cs="Arial"/>
          <w:sz w:val="24"/>
          <w:szCs w:val="24"/>
          <w:lang w:eastAsia="ru-RU"/>
        </w:rPr>
        <w:br/>
        <w:t>а</w:t>
      </w:r>
      <w:proofErr w:type="gramStart"/>
      <w:r>
        <w:rPr>
          <w:rFonts w:ascii="Arial" w:eastAsia="Times New Roman" w:hAnsi="Arial" w:cs="Arial"/>
          <w:sz w:val="24"/>
          <w:szCs w:val="24"/>
          <w:lang w:eastAsia="ru-RU"/>
        </w:rPr>
        <w:t>)</w:t>
      </w:r>
      <w:r w:rsidRPr="00CD0BBA">
        <w:rPr>
          <w:rFonts w:ascii="Arial" w:eastAsia="Times New Roman" w:hAnsi="Arial" w:cs="Arial"/>
          <w:sz w:val="24"/>
          <w:szCs w:val="24"/>
          <w:lang w:eastAsia="ru-RU"/>
        </w:rPr>
        <w:t>с</w:t>
      </w:r>
      <w:proofErr w:type="gramEnd"/>
      <w:r w:rsidRPr="00CD0BBA">
        <w:rPr>
          <w:rFonts w:ascii="Arial" w:eastAsia="Times New Roman" w:hAnsi="Arial" w:cs="Arial"/>
          <w:sz w:val="24"/>
          <w:szCs w:val="24"/>
          <w:lang w:eastAsia="ru-RU"/>
        </w:rPr>
        <w:t>ебестоимость изделия - 125 руб.;</w:t>
      </w:r>
      <w:r w:rsidRPr="00CD0BBA">
        <w:rPr>
          <w:rFonts w:ascii="Arial" w:eastAsia="Times New Roman" w:hAnsi="Arial" w:cs="Arial"/>
          <w:sz w:val="24"/>
          <w:szCs w:val="24"/>
          <w:lang w:eastAsia="ru-RU"/>
        </w:rPr>
        <w:br/>
        <w:t>б) НДС – 18%;</w:t>
      </w:r>
      <w:r w:rsidRPr="00CD0BBA">
        <w:rPr>
          <w:rFonts w:ascii="Arial" w:eastAsia="Times New Roman" w:hAnsi="Arial" w:cs="Arial"/>
          <w:sz w:val="24"/>
          <w:szCs w:val="24"/>
          <w:lang w:eastAsia="ru-RU"/>
        </w:rPr>
        <w:br/>
        <w:t>в) акциз - 30%;</w:t>
      </w:r>
      <w:r w:rsidRPr="00CD0BBA">
        <w:rPr>
          <w:rFonts w:ascii="Arial" w:eastAsia="Times New Roman" w:hAnsi="Arial" w:cs="Arial"/>
          <w:sz w:val="24"/>
          <w:szCs w:val="24"/>
          <w:lang w:eastAsia="ru-RU"/>
        </w:rPr>
        <w:br/>
        <w:t>г) Оптовая цена покупателя - 504 руб.</w:t>
      </w:r>
      <w:r w:rsidRPr="00CD0BBA">
        <w:rPr>
          <w:rFonts w:ascii="Arial" w:eastAsia="Times New Roman" w:hAnsi="Arial" w:cs="Arial"/>
          <w:sz w:val="24"/>
          <w:szCs w:val="24"/>
          <w:lang w:eastAsia="ru-RU"/>
        </w:rPr>
        <w:br/>
        <w:t>д) торговая надбавка - 25%.</w:t>
      </w:r>
      <w:r w:rsidRPr="00CD0BBA">
        <w:rPr>
          <w:rFonts w:ascii="Arial" w:eastAsia="Times New Roman" w:hAnsi="Arial" w:cs="Arial"/>
          <w:sz w:val="24"/>
          <w:szCs w:val="24"/>
          <w:lang w:eastAsia="ru-RU"/>
        </w:rPr>
        <w:br/>
        <w:t>е) наценка посредника – 15% .</w:t>
      </w:r>
    </w:p>
    <w:p w:rsidR="00B150BC" w:rsidRPr="00B150BC" w:rsidRDefault="00B150BC" w:rsidP="00B150BC">
      <w:pPr>
        <w:spacing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Методические указания к задачам 1-5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>       Любая цена состоит из определенных элементов. В зависимости от вида цены по характеру обслуживаемого оборота этот состав может меняться, так как в цену входят различные элементы. Соотношение отдельных элементов, выраженное в процентах или долях единицы, представляет собой структуру цены. При рассмотрении структуры цены наибольший интерес представляет отпускная цена предприятия. По своему экономическому содержанию эта цена - конечная для многих видов продукции производственно-технического назначения. Состав оптовой и розничной цен представлен в виде следующей последовательности: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Себестоимость +Прибыль + Акциз = Оптовая цена продавца + НДС = Оптовая цена покупателя + Наценка посредника +НДС = Закупочная цена посредника + Торговая наценка + НДС = Свободная розничная цена.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> 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>Типовая задача: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>       Полная себестоимость производства единицы продукции - 1000 руб. Норматив рентабельности 25% к себестоимости. Ставка НДС - 18%. Наценка посредника 25%, торговая наценка 15%. Определите розничную цену и ее структуру.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>       Решение: При нормативе рентабельности 25%, прибыль в цене изделия составит 1000 х 0,25 = 250 руб.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>       В этом случае отпускная цена предприятия (продавца) равна 1000 + 250 = 1250 руб.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>       Сумма НДС = 1250 х 0,18 = 225 руб.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lastRenderedPageBreak/>
        <w:t xml:space="preserve">       Оптовая цена покупателя 1250 + </w:t>
      </w:r>
      <w:r w:rsidRPr="00B150B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225 =</w:t>
      </w:r>
      <w:r w:rsidRPr="00B150BC">
        <w:rPr>
          <w:rFonts w:ascii="Arial" w:eastAsia="Times New Roman" w:hAnsi="Arial" w:cs="Arial"/>
          <w:sz w:val="24"/>
          <w:szCs w:val="24"/>
          <w:lang w:eastAsia="ru-RU"/>
        </w:rPr>
        <w:t xml:space="preserve"> 1425 руб.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>       Цена посредника составит (1425+1425*0,25)+ (1425+1425*0,25)*0,18 = 2101,88 руб.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>       Розничная цена (2101,88+2101,88*0,15)+ (2101,88+2101,88*0,15)*0,18 = 2852,25 руб.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t>Структура розничной цены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>Доля себестоимости 1000/2852,25 = 0,35 или 35%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>Доля прибыли 225/2852,25 = 0,07 или 7%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i/>
          <w:iCs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Аналогичным образом определяются все остальные составляющие цены, а именно: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>Доля НДС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>Доля наценки посредника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>Доля торговой наценки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</w:pPr>
      <w:r w:rsidRPr="00B150BC">
        <w:rPr>
          <w:rFonts w:ascii="Arial" w:eastAsia="Times New Roman" w:hAnsi="Arial" w:cs="Arial"/>
          <w:b/>
          <w:bCs/>
          <w:sz w:val="24"/>
          <w:szCs w:val="24"/>
          <w:u w:val="single"/>
          <w:lang w:eastAsia="ru-RU"/>
        </w:rPr>
        <w:t>Правильно рассчитанная структура в сумме всех элементов должна давать единицу или 100%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Times New Roman" w:eastAsia="Times New Roman" w:hAnsi="Times New Roman" w:cs="Times New Roman"/>
          <w:sz w:val="24"/>
          <w:szCs w:val="24"/>
          <w:lang w:eastAsia="ru-RU"/>
        </w:rPr>
      </w:pPr>
      <w:r w:rsidRPr="00B150BC">
        <w:rPr>
          <w:rFonts w:ascii="Times New Roman" w:eastAsia="Times New Roman" w:hAnsi="Times New Roman" w:cs="Times New Roman"/>
          <w:sz w:val="24"/>
          <w:szCs w:val="24"/>
          <w:lang w:eastAsia="ru-RU"/>
        </w:rPr>
        <w:t> </w:t>
      </w:r>
    </w:p>
    <w:p w:rsidR="00B150BC" w:rsidRPr="00CD0BBA" w:rsidRDefault="00B150BC" w:rsidP="00CD0BBA">
      <w:pPr>
        <w:spacing w:before="100" w:beforeAutospacing="1" w:after="100" w:afterAutospacing="1" w:line="240" w:lineRule="auto"/>
        <w:ind w:left="2160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0BBA" w:rsidRPr="00CD0BBA" w:rsidRDefault="00CD0BBA" w:rsidP="00CD0BBA">
      <w:pPr>
        <w:spacing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u w:val="single"/>
          <w:lang w:eastAsia="ru-RU"/>
        </w:rPr>
      </w:pPr>
      <w:r w:rsidRPr="00CD0BBA">
        <w:rPr>
          <w:rFonts w:ascii="Arial" w:eastAsia="Times New Roman" w:hAnsi="Arial" w:cs="Arial"/>
          <w:sz w:val="24"/>
          <w:szCs w:val="24"/>
          <w:u w:val="single"/>
          <w:lang w:eastAsia="ru-RU"/>
        </w:rPr>
        <w:t>Задача №9</w:t>
      </w:r>
    </w:p>
    <w:p w:rsidR="00CD0BBA" w:rsidRPr="00CD0BBA" w:rsidRDefault="00CD0BBA" w:rsidP="00CD0B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0BBA">
        <w:rPr>
          <w:rFonts w:ascii="Arial" w:eastAsia="Times New Roman" w:hAnsi="Arial" w:cs="Arial"/>
          <w:sz w:val="24"/>
          <w:szCs w:val="24"/>
          <w:lang w:eastAsia="ru-RU"/>
        </w:rPr>
        <w:t>       Используя метод балловый оценок, определить свободную розничную цену фотоаппарата "X", если для расчета себестоимости одного балла принят фотоаппарат "Y", себестоимость которого составляет 150 руб. Коэффициент классности фотоаппарата "Y" установлен в размере 1,25.</w:t>
      </w:r>
    </w:p>
    <w:p w:rsidR="00CD0BBA" w:rsidRPr="00CD0BBA" w:rsidRDefault="00CD0BBA" w:rsidP="00CD0B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0BBA">
        <w:rPr>
          <w:rFonts w:ascii="Arial" w:eastAsia="Times New Roman" w:hAnsi="Arial" w:cs="Arial"/>
          <w:sz w:val="24"/>
          <w:szCs w:val="24"/>
          <w:lang w:eastAsia="ru-RU"/>
        </w:rPr>
        <w:t>       Балловая оценка различных параметров указанных марок фотоаппаратов такова:</w:t>
      </w:r>
    </w:p>
    <w:tbl>
      <w:tblPr>
        <w:tblW w:w="9060" w:type="dxa"/>
        <w:jc w:val="center"/>
        <w:tblCellSpacing w:w="7" w:type="dxa"/>
        <w:tblBorders>
          <w:top w:val="outset" w:sz="6" w:space="0" w:color="C0C0C0"/>
          <w:left w:val="outset" w:sz="6" w:space="0" w:color="C0C0C0"/>
          <w:bottom w:val="outset" w:sz="6" w:space="0" w:color="C0C0C0"/>
          <w:right w:val="outset" w:sz="6" w:space="0" w:color="C0C0C0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1817"/>
        <w:gridCol w:w="1809"/>
        <w:gridCol w:w="1809"/>
        <w:gridCol w:w="1809"/>
        <w:gridCol w:w="1816"/>
      </w:tblGrid>
      <w:tr w:rsidR="00CD0BBA" w:rsidRPr="00CD0BBA" w:rsidTr="00CD0BBA">
        <w:trPr>
          <w:trHeight w:val="720"/>
          <w:tblCellSpacing w:w="7" w:type="dxa"/>
          <w:jc w:val="center"/>
        </w:trPr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0BBA" w:rsidRPr="00CD0BBA" w:rsidRDefault="00CD0BBA" w:rsidP="00CD0B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Марка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0BBA" w:rsidRPr="00CD0BBA" w:rsidRDefault="00CD0BBA" w:rsidP="00CD0B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Удобство пользования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0BBA" w:rsidRPr="00CD0BBA" w:rsidRDefault="00CD0BBA" w:rsidP="00CD0B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Долговечность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0BBA" w:rsidRPr="00CD0BBA" w:rsidRDefault="00CD0BBA" w:rsidP="00CD0B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Надежность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0BBA" w:rsidRPr="00CD0BBA" w:rsidRDefault="00CD0BBA" w:rsidP="00CD0B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Дизайн</w:t>
            </w:r>
          </w:p>
        </w:tc>
      </w:tr>
      <w:tr w:rsidR="00CD0BBA" w:rsidRPr="00CD0BBA" w:rsidTr="00CD0BBA">
        <w:trPr>
          <w:trHeight w:val="720"/>
          <w:tblCellSpacing w:w="7" w:type="dxa"/>
          <w:jc w:val="center"/>
        </w:trPr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0BBA" w:rsidRPr="00CD0BBA" w:rsidRDefault="00CD0BBA" w:rsidP="00CD0B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Y</w:t>
            </w:r>
          </w:p>
          <w:p w:rsidR="00CD0BBA" w:rsidRPr="00CD0BBA" w:rsidRDefault="00CD0BBA" w:rsidP="00CD0B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X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0BBA" w:rsidRPr="00CD0BBA" w:rsidRDefault="00CD0BBA" w:rsidP="00CD0B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24</w:t>
            </w:r>
          </w:p>
          <w:p w:rsidR="00CD0BBA" w:rsidRPr="00CD0BBA" w:rsidRDefault="00CD0BBA" w:rsidP="00CD0B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26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0BBA" w:rsidRPr="00CD0BBA" w:rsidRDefault="00CD0BBA" w:rsidP="00CD0B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35</w:t>
            </w:r>
          </w:p>
          <w:p w:rsidR="00CD0BBA" w:rsidRPr="00CD0BBA" w:rsidRDefault="00CD0BBA" w:rsidP="00CD0B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40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0BBA" w:rsidRPr="00CD0BBA" w:rsidRDefault="00CD0BBA" w:rsidP="00CD0B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18</w:t>
            </w:r>
          </w:p>
          <w:p w:rsidR="00CD0BBA" w:rsidRPr="00CD0BBA" w:rsidRDefault="00CD0BBA" w:rsidP="00CD0B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</w:t>
            </w:r>
          </w:p>
        </w:tc>
        <w:tc>
          <w:tcPr>
            <w:tcW w:w="1000" w:type="pct"/>
            <w:tcBorders>
              <w:top w:val="outset" w:sz="6" w:space="0" w:color="C0C0C0"/>
              <w:left w:val="outset" w:sz="6" w:space="0" w:color="C0C0C0"/>
              <w:bottom w:val="outset" w:sz="6" w:space="0" w:color="C0C0C0"/>
              <w:right w:val="outset" w:sz="6" w:space="0" w:color="C0C0C0"/>
            </w:tcBorders>
            <w:hideMark/>
          </w:tcPr>
          <w:p w:rsidR="00CD0BBA" w:rsidRPr="00CD0BBA" w:rsidRDefault="00CD0BBA" w:rsidP="00CD0B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13</w:t>
            </w:r>
          </w:p>
          <w:p w:rsidR="00CD0BBA" w:rsidRPr="00CD0BBA" w:rsidRDefault="00CD0BBA" w:rsidP="00CD0BBA">
            <w:pPr>
              <w:spacing w:before="100" w:beforeAutospacing="1" w:after="100" w:afterAutospacing="1" w:line="240" w:lineRule="auto"/>
              <w:jc w:val="both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CD0BBA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</w:t>
            </w:r>
          </w:p>
        </w:tc>
      </w:tr>
    </w:tbl>
    <w:p w:rsidR="00CD0BBA" w:rsidRDefault="00CD0BBA" w:rsidP="00CD0B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CD0BBA">
        <w:rPr>
          <w:rFonts w:ascii="Arial" w:eastAsia="Times New Roman" w:hAnsi="Arial" w:cs="Arial"/>
          <w:sz w:val="24"/>
          <w:szCs w:val="24"/>
          <w:lang w:eastAsia="ru-RU"/>
        </w:rPr>
        <w:t>       Уровень рентабельности, рассчитанный предприятием на фотоаппарат "Y", составляет 30% к себестоимости, "Y" - 40% к себестоимости; НДС - 18%; торговая надбавка - 15%.</w:t>
      </w:r>
    </w:p>
    <w:p w:rsidR="00B150BC" w:rsidRPr="00B150BC" w:rsidRDefault="00B150BC" w:rsidP="00B150BC">
      <w:pPr>
        <w:spacing w:beforeAutospacing="1" w:after="100" w:afterAutospacing="1" w:line="240" w:lineRule="auto"/>
        <w:jc w:val="center"/>
        <w:rPr>
          <w:rFonts w:ascii="Arial" w:eastAsia="Times New Roman" w:hAnsi="Arial" w:cs="Arial"/>
          <w:b/>
          <w:bCs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b/>
          <w:bCs/>
          <w:sz w:val="24"/>
          <w:szCs w:val="24"/>
          <w:lang w:eastAsia="ru-RU"/>
        </w:rPr>
        <w:lastRenderedPageBreak/>
        <w:t>Методические указания к задачам 6-10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>       </w:t>
      </w:r>
      <w:r w:rsidRPr="00B150BC">
        <w:rPr>
          <w:rFonts w:ascii="Arial" w:eastAsia="Times New Roman" w:hAnsi="Arial" w:cs="Arial"/>
          <w:sz w:val="24"/>
          <w:szCs w:val="24"/>
          <w:u w:val="single"/>
          <w:lang w:eastAsia="ru-RU"/>
        </w:rPr>
        <w:t>Параметрические методы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>       Параметрические методы ценообразования связывают цены с качеством и полезностью производимой продукции. В основе установления цены может лежать, например, метод удельной цены, балловый метод, метод регрессивного анализа.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>       Метод удельной цены используется при выделении одного основного параметра качества. Учет лишь одного параметра явно недостаточен при решении вопросов ценообразования для основной массы современных товаров и услуг. Этот недостаток устраняется применением баллового метода.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 xml:space="preserve">       Суть баллового метода заключается в следующем: формирование цен производится на основе экспертных оценок значимости параметров качества для потребителей. Этот метод незаменим, когда цена зависит от многих параметров, в том числе и таких, которые не поддаются количественному измерению. Например, удобство, дизайн, </w:t>
      </w:r>
      <w:proofErr w:type="spellStart"/>
      <w:r w:rsidRPr="00B150BC">
        <w:rPr>
          <w:rFonts w:ascii="Arial" w:eastAsia="Times New Roman" w:hAnsi="Arial" w:cs="Arial"/>
          <w:sz w:val="24"/>
          <w:szCs w:val="24"/>
          <w:lang w:eastAsia="ru-RU"/>
        </w:rPr>
        <w:t>экологичность</w:t>
      </w:r>
      <w:proofErr w:type="spellEnd"/>
      <w:r w:rsidRPr="00B150BC">
        <w:rPr>
          <w:rFonts w:ascii="Arial" w:eastAsia="Times New Roman" w:hAnsi="Arial" w:cs="Arial"/>
          <w:sz w:val="24"/>
          <w:szCs w:val="24"/>
          <w:lang w:eastAsia="ru-RU"/>
        </w:rPr>
        <w:t>, органолептические свойства (запах, вкус, цвет). Со временем роль и значение таких факторов возрастают.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>       Балловый метод имеет 4 итерации (этапа):</w:t>
      </w:r>
    </w:p>
    <w:p w:rsidR="00B150BC" w:rsidRPr="00B150BC" w:rsidRDefault="00B150BC" w:rsidP="00B150BC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 xml:space="preserve">тщательный отбор основных, технико-экономических параметров; </w:t>
      </w:r>
    </w:p>
    <w:p w:rsidR="00B150BC" w:rsidRPr="00B150BC" w:rsidRDefault="00B150BC" w:rsidP="00B150BC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 xml:space="preserve">начисление баллов по каждому выбранному параметру экспертами от производителей и потребителей; </w:t>
      </w:r>
    </w:p>
    <w:p w:rsidR="00B150BC" w:rsidRPr="00B150BC" w:rsidRDefault="00B150BC" w:rsidP="00B150BC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 xml:space="preserve">определение интегральной оценки технико-экономического уровня изделия с учетом коэффициента весомости каждого параметра; </w:t>
      </w:r>
    </w:p>
    <w:p w:rsidR="00B150BC" w:rsidRPr="00B150BC" w:rsidRDefault="00B150BC" w:rsidP="00B150BC">
      <w:pPr>
        <w:numPr>
          <w:ilvl w:val="0"/>
          <w:numId w:val="2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 xml:space="preserve">расчет цены на основе средней оценки одного балла. Типовая задача: 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>       Наиболее важные технико-экономические параметры копировальной машины, их значимость с точки зрения потребителей и оценки этих параметров у аналогов-конкурентов в сравнении с идеальной машиной представлены в таблице №6.</w:t>
      </w:r>
    </w:p>
    <w:p w:rsidR="00B150BC" w:rsidRPr="00B150BC" w:rsidRDefault="00B150BC" w:rsidP="00B150BC">
      <w:pPr>
        <w:spacing w:after="10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 xml:space="preserve">Таблица №6 </w:t>
      </w:r>
    </w:p>
    <w:tbl>
      <w:tblPr>
        <w:tblW w:w="75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2546"/>
        <w:gridCol w:w="1203"/>
        <w:gridCol w:w="1872"/>
        <w:gridCol w:w="1879"/>
      </w:tblGrid>
      <w:tr w:rsidR="00B150BC" w:rsidRPr="00B150BC" w:rsidTr="00B150BC">
        <w:trPr>
          <w:trHeight w:val="675"/>
          <w:tblCellSpacing w:w="7" w:type="dxa"/>
          <w:jc w:val="center"/>
        </w:trPr>
        <w:tc>
          <w:tcPr>
            <w:tcW w:w="17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0BC" w:rsidRPr="00B150BC" w:rsidRDefault="00B150BC" w:rsidP="00B150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0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параметров</w:t>
            </w:r>
          </w:p>
        </w:tc>
        <w:tc>
          <w:tcPr>
            <w:tcW w:w="8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0BC" w:rsidRPr="00B150BC" w:rsidRDefault="00B150BC" w:rsidP="00B150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0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Весовой индекс, % (</w:t>
            </w:r>
            <w:proofErr w:type="spellStart"/>
            <w:r w:rsidRPr="00B150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di</w:t>
            </w:r>
            <w:proofErr w:type="spellEnd"/>
            <w:r w:rsidRPr="00B150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  <w:tc>
          <w:tcPr>
            <w:tcW w:w="25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0BC" w:rsidRPr="00B150BC" w:rsidRDefault="00B150BC" w:rsidP="00B150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0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Параметрический индекс (оценка параметра) (</w:t>
            </w:r>
            <w:proofErr w:type="spellStart"/>
            <w:r w:rsidRPr="00B150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Ji</w:t>
            </w:r>
            <w:proofErr w:type="spellEnd"/>
            <w:r w:rsidRPr="00B150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)</w:t>
            </w:r>
          </w:p>
        </w:tc>
      </w:tr>
      <w:tr w:rsidR="00B150BC" w:rsidRPr="00B150BC" w:rsidTr="00B150BC">
        <w:trPr>
          <w:trHeight w:val="42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0BC" w:rsidRPr="00B150BC" w:rsidRDefault="00B150BC" w:rsidP="00B150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0BC" w:rsidRPr="00B150BC" w:rsidRDefault="00B150BC" w:rsidP="00B150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0BC" w:rsidRPr="00B150BC" w:rsidRDefault="00B150BC" w:rsidP="00B150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0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KM -1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0BC" w:rsidRPr="00B150BC" w:rsidRDefault="00B150BC" w:rsidP="00B150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0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КМ-2</w:t>
            </w:r>
          </w:p>
        </w:tc>
      </w:tr>
      <w:tr w:rsidR="00B150BC" w:rsidRPr="00B150BC" w:rsidTr="00B150BC">
        <w:trPr>
          <w:trHeight w:val="405"/>
          <w:tblCellSpacing w:w="7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0BC" w:rsidRPr="00B150BC" w:rsidRDefault="00B150BC" w:rsidP="00B1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Надежность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0BC" w:rsidRPr="00B150BC" w:rsidRDefault="00B150BC" w:rsidP="00B150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0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0BC" w:rsidRPr="00B150BC" w:rsidRDefault="00B150BC" w:rsidP="00B150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0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0BC" w:rsidRPr="00B150BC" w:rsidRDefault="00B150BC" w:rsidP="00B150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0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</w:tr>
      <w:tr w:rsidR="00B150BC" w:rsidRPr="00B150BC" w:rsidTr="00B150BC">
        <w:trPr>
          <w:trHeight w:val="435"/>
          <w:tblCellSpacing w:w="7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0BC" w:rsidRPr="00B150BC" w:rsidRDefault="00B150BC" w:rsidP="00B1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2. Количество копий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0BC" w:rsidRPr="00B150BC" w:rsidRDefault="00B150BC" w:rsidP="00B150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0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30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0BC" w:rsidRPr="00B150BC" w:rsidRDefault="00B150BC" w:rsidP="00B150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0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0BC" w:rsidRPr="00B150BC" w:rsidRDefault="00B150BC" w:rsidP="00B150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0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80</w:t>
            </w:r>
          </w:p>
        </w:tc>
      </w:tr>
      <w:tr w:rsidR="00B150BC" w:rsidRPr="00B150BC" w:rsidTr="00B150BC">
        <w:trPr>
          <w:trHeight w:val="630"/>
          <w:tblCellSpacing w:w="7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0BC" w:rsidRPr="00B150BC" w:rsidRDefault="00B150BC" w:rsidP="00B1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3. Дополнительные возможности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0BC" w:rsidRPr="00B150BC" w:rsidRDefault="00B150BC" w:rsidP="00B150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0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20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0BC" w:rsidRPr="00B150BC" w:rsidRDefault="00B150BC" w:rsidP="00B150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0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0BC" w:rsidRPr="00B150BC" w:rsidRDefault="00B150BC" w:rsidP="00B150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0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75</w:t>
            </w:r>
          </w:p>
        </w:tc>
      </w:tr>
      <w:tr w:rsidR="00B150BC" w:rsidRPr="00B150BC" w:rsidTr="00B150BC">
        <w:trPr>
          <w:trHeight w:val="690"/>
          <w:tblCellSpacing w:w="7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0BC" w:rsidRPr="00B150BC" w:rsidRDefault="00B150BC" w:rsidP="00B1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4. Легкость эксплуатации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0BC" w:rsidRPr="00B150BC" w:rsidRDefault="00B150BC" w:rsidP="00B150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0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0BC" w:rsidRPr="00B150BC" w:rsidRDefault="00B150BC" w:rsidP="00B150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0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0BC" w:rsidRPr="00B150BC" w:rsidRDefault="00B150BC" w:rsidP="00B150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0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90</w:t>
            </w:r>
          </w:p>
        </w:tc>
      </w:tr>
      <w:tr w:rsidR="00B150BC" w:rsidRPr="00B150BC" w:rsidTr="00B150BC">
        <w:trPr>
          <w:trHeight w:val="615"/>
          <w:tblCellSpacing w:w="7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0BC" w:rsidRPr="00B150BC" w:rsidRDefault="00B150BC" w:rsidP="00B1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5. Скорость копирования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0BC" w:rsidRPr="00B150BC" w:rsidRDefault="00B150BC" w:rsidP="00B150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0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0BC" w:rsidRPr="00B150BC" w:rsidRDefault="00B150BC" w:rsidP="00B150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0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0BC" w:rsidRPr="00B150BC" w:rsidRDefault="00B150BC" w:rsidP="00B150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0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65</w:t>
            </w:r>
          </w:p>
        </w:tc>
      </w:tr>
      <w:tr w:rsidR="00B150BC" w:rsidRPr="00B150BC" w:rsidTr="00B150BC">
        <w:trPr>
          <w:trHeight w:val="420"/>
          <w:tblCellSpacing w:w="7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0BC" w:rsidRPr="00B150BC" w:rsidRDefault="00B150BC" w:rsidP="00B1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6. Размеры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0BC" w:rsidRPr="00B150BC" w:rsidRDefault="00B150BC" w:rsidP="00B150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0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5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0BC" w:rsidRPr="00B150BC" w:rsidRDefault="00B150BC" w:rsidP="00B150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0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60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0BC" w:rsidRPr="00B150BC" w:rsidRDefault="00B150BC" w:rsidP="00B150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0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95</w:t>
            </w:r>
          </w:p>
        </w:tc>
      </w:tr>
      <w:tr w:rsidR="00B150BC" w:rsidRPr="00B150BC" w:rsidTr="00B150BC">
        <w:trPr>
          <w:trHeight w:val="435"/>
          <w:tblCellSpacing w:w="7" w:type="dxa"/>
          <w:jc w:val="center"/>
        </w:trPr>
        <w:tc>
          <w:tcPr>
            <w:tcW w:w="17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0BC" w:rsidRPr="00B150BC" w:rsidRDefault="00B150BC" w:rsidP="00B1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8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0BC" w:rsidRPr="00B150BC" w:rsidRDefault="00B150BC" w:rsidP="00B150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0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100,0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0BC" w:rsidRPr="00B150BC" w:rsidRDefault="00B150BC" w:rsidP="00B150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0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  <w:tc>
          <w:tcPr>
            <w:tcW w:w="12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0BC" w:rsidRPr="00B150BC" w:rsidRDefault="00B150BC" w:rsidP="00B150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0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-</w:t>
            </w:r>
          </w:p>
        </w:tc>
      </w:tr>
    </w:tbl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 xml:space="preserve">       Для идеальной машины величина параметра составляет 100%. 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 xml:space="preserve">       Цена </w:t>
      </w:r>
      <w:proofErr w:type="gramStart"/>
      <w:r w:rsidRPr="00B150BC">
        <w:rPr>
          <w:rFonts w:ascii="Arial" w:eastAsia="Times New Roman" w:hAnsi="Arial" w:cs="Arial"/>
          <w:sz w:val="24"/>
          <w:szCs w:val="24"/>
          <w:lang w:eastAsia="ru-RU"/>
        </w:rPr>
        <w:t>КМ</w:t>
      </w:r>
      <w:proofErr w:type="gramEnd"/>
      <w:r w:rsidRPr="00B150BC">
        <w:rPr>
          <w:rFonts w:ascii="Arial" w:eastAsia="Times New Roman" w:hAnsi="Arial" w:cs="Arial"/>
          <w:sz w:val="24"/>
          <w:szCs w:val="24"/>
          <w:lang w:eastAsia="ru-RU"/>
        </w:rPr>
        <w:t xml:space="preserve"> - 1 - 5200 долларов.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>       Определить цену KM — 2 с учетом оценки конкурентоспособности. Решение: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>       1. Определяем средневзвешенный параметрический индекс по обеим машинам по формуле</w:t>
      </w:r>
    </w:p>
    <w:p w:rsidR="00B150BC" w:rsidRPr="00B150BC" w:rsidRDefault="00B150BC" w:rsidP="00B150B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1033780" cy="532765"/>
            <wp:effectExtent l="0" t="0" r="0" b="635"/>
            <wp:docPr id="5" name="Рисунок 5" descr="F:\учеба\Ценообразование\images\Image1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1" descr="F:\учеба\Ценообразование\images\Image1.gif"/>
                    <pic:cNvPicPr>
                      <a:picLocks noChangeAspect="1" noChangeArrowheads="1"/>
                    </pic:cNvPicPr>
                  </pic:nvPicPr>
                  <pic:blipFill>
                    <a:blip r:embed="rId6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1033780" cy="5327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0BC">
        <w:rPr>
          <w:rFonts w:ascii="Arial" w:eastAsia="Times New Roman" w:hAnsi="Arial" w:cs="Arial"/>
          <w:sz w:val="24"/>
          <w:szCs w:val="24"/>
          <w:lang w:eastAsia="ru-RU"/>
        </w:rPr>
        <w:t>(1)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 xml:space="preserve">       где </w:t>
      </w:r>
      <w:proofErr w:type="spellStart"/>
      <w:r w:rsidRPr="00B150BC">
        <w:rPr>
          <w:rFonts w:ascii="Arial" w:eastAsia="Times New Roman" w:hAnsi="Arial" w:cs="Arial"/>
          <w:sz w:val="24"/>
          <w:szCs w:val="24"/>
          <w:lang w:eastAsia="ru-RU"/>
        </w:rPr>
        <w:t>Ji</w:t>
      </w:r>
      <w:proofErr w:type="spellEnd"/>
      <w:r w:rsidRPr="00B150BC">
        <w:rPr>
          <w:rFonts w:ascii="Arial" w:eastAsia="Times New Roman" w:hAnsi="Arial" w:cs="Arial"/>
          <w:sz w:val="24"/>
          <w:szCs w:val="24"/>
          <w:lang w:eastAsia="ru-RU"/>
        </w:rPr>
        <w:t xml:space="preserve"> - параметрический индекс i-</w:t>
      </w:r>
      <w:proofErr w:type="spellStart"/>
      <w:r w:rsidRPr="00B150BC">
        <w:rPr>
          <w:rFonts w:ascii="Arial" w:eastAsia="Times New Roman" w:hAnsi="Arial" w:cs="Arial"/>
          <w:sz w:val="24"/>
          <w:szCs w:val="24"/>
          <w:lang w:eastAsia="ru-RU"/>
        </w:rPr>
        <w:t>гo</w:t>
      </w:r>
      <w:proofErr w:type="spellEnd"/>
      <w:r w:rsidRPr="00B150BC">
        <w:rPr>
          <w:rFonts w:ascii="Arial" w:eastAsia="Times New Roman" w:hAnsi="Arial" w:cs="Arial"/>
          <w:sz w:val="24"/>
          <w:szCs w:val="24"/>
          <w:lang w:eastAsia="ru-RU"/>
        </w:rPr>
        <w:t xml:space="preserve"> параметра (оценка параметра);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>       </w:t>
      </w:r>
      <w:proofErr w:type="spellStart"/>
      <w:r w:rsidRPr="00B150BC">
        <w:rPr>
          <w:rFonts w:ascii="Arial" w:eastAsia="Times New Roman" w:hAnsi="Arial" w:cs="Arial"/>
          <w:sz w:val="24"/>
          <w:szCs w:val="24"/>
          <w:lang w:eastAsia="ru-RU"/>
        </w:rPr>
        <w:t>di</w:t>
      </w:r>
      <w:proofErr w:type="spellEnd"/>
      <w:r w:rsidRPr="00B150BC">
        <w:rPr>
          <w:rFonts w:ascii="Arial" w:eastAsia="Times New Roman" w:hAnsi="Arial" w:cs="Arial"/>
          <w:sz w:val="24"/>
          <w:szCs w:val="24"/>
          <w:lang w:eastAsia="ru-RU"/>
        </w:rPr>
        <w:t xml:space="preserve"> — весовой индекс (весовой коэффициент) i-</w:t>
      </w:r>
      <w:proofErr w:type="spellStart"/>
      <w:r w:rsidRPr="00B150BC">
        <w:rPr>
          <w:rFonts w:ascii="Arial" w:eastAsia="Times New Roman" w:hAnsi="Arial" w:cs="Arial"/>
          <w:sz w:val="24"/>
          <w:szCs w:val="24"/>
          <w:lang w:eastAsia="ru-RU"/>
        </w:rPr>
        <w:t>гo</w:t>
      </w:r>
      <w:proofErr w:type="spellEnd"/>
      <w:r w:rsidRPr="00B150BC">
        <w:rPr>
          <w:rFonts w:ascii="Arial" w:eastAsia="Times New Roman" w:hAnsi="Arial" w:cs="Arial"/>
          <w:sz w:val="24"/>
          <w:szCs w:val="24"/>
          <w:lang w:eastAsia="ru-RU"/>
        </w:rPr>
        <w:t xml:space="preserve"> параметра;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 xml:space="preserve">       n — количество оцениваемых параметров. Результат расчета приведен в таблице №7 </w:t>
      </w:r>
    </w:p>
    <w:p w:rsidR="00B150BC" w:rsidRPr="00B150BC" w:rsidRDefault="00B150BC" w:rsidP="00B150BC">
      <w:pPr>
        <w:spacing w:after="10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 xml:space="preserve">Таблица №7 </w:t>
      </w:r>
    </w:p>
    <w:tbl>
      <w:tblPr>
        <w:tblW w:w="892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4351"/>
        <w:gridCol w:w="2106"/>
        <w:gridCol w:w="2468"/>
      </w:tblGrid>
      <w:tr w:rsidR="00B150BC" w:rsidRPr="00B150BC" w:rsidTr="00B150BC">
        <w:trPr>
          <w:trHeight w:val="795"/>
          <w:tblCellSpacing w:w="7" w:type="dxa"/>
          <w:jc w:val="center"/>
        </w:trPr>
        <w:tc>
          <w:tcPr>
            <w:tcW w:w="2400" w:type="pct"/>
            <w:vMerge w:val="restar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0BC" w:rsidRPr="00B150BC" w:rsidRDefault="00B150BC" w:rsidP="00B150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0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Наименование параметров</w:t>
            </w:r>
          </w:p>
        </w:tc>
        <w:tc>
          <w:tcPr>
            <w:tcW w:w="26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0BC" w:rsidRPr="00B150BC" w:rsidRDefault="00B150BC" w:rsidP="00B150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0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Средневзвешенный параметрический индекс(</w:t>
            </w:r>
            <w:r>
              <w:rPr>
                <w:rFonts w:ascii="Arial" w:eastAsia="Times New Roman" w:hAnsi="Arial" w:cs="Arial"/>
                <w:noProof/>
                <w:sz w:val="24"/>
                <w:szCs w:val="24"/>
                <w:lang w:eastAsia="ru-RU"/>
              </w:rPr>
              <w:drawing>
                <wp:inline distT="0" distB="0" distL="0" distR="0">
                  <wp:extent cx="127000" cy="238760"/>
                  <wp:effectExtent l="0" t="0" r="6350" b="8890"/>
                  <wp:docPr id="4" name="Рисунок 4" descr="F:\учеба\Ценообразование\images\Image2.gif"/>
                  <wp:cNvGraphicFramePr>
                    <a:graphicFrameLocks xmlns:a="http://schemas.openxmlformats.org/drawingml/2006/main" noChangeAspect="1"/>
                  </wp:cNvGraphicFramePr>
                  <a:graphic xmlns:a="http://schemas.openxmlformats.org/drawingml/2006/main">
                    <a:graphicData uri="http://schemas.openxmlformats.org/drawingml/2006/picture">
                      <pic:pic xmlns:pic="http://schemas.openxmlformats.org/drawingml/2006/picture">
                        <pic:nvPicPr>
                          <pic:cNvPr id="0" name="Picture 2" descr="F:\учеба\Ценообразование\images\Image2.gif"/>
                          <pic:cNvPicPr>
                            <a:picLocks noChangeAspect="1" noChangeArrowheads="1"/>
                          </pic:cNvPicPr>
                        </pic:nvPicPr>
                        <pic:blipFill>
                          <a:blip r:embed="rId7">
                            <a:extLst>
                              <a:ext uri="{28A0092B-C50C-407E-A947-70E740481C1C}">
                                <a14:useLocalDpi xmlns:a14="http://schemas.microsoft.com/office/drawing/2010/main" val="0"/>
                              </a:ext>
                            </a:extLst>
                          </a:blip>
                          <a:srcRect/>
                          <a:stretch>
                            <a:fillRect/>
                          </a:stretch>
                        </pic:blipFill>
                        <pic:spPr bwMode="auto">
                          <a:xfrm>
                            <a:off x="0" y="0"/>
                            <a:ext cx="127000" cy="238760"/>
                          </a:xfrm>
                          <a:prstGeom prst="rect">
                            <a:avLst/>
                          </a:prstGeom>
                          <a:noFill/>
                          <a:ln>
                            <a:noFill/>
                          </a:ln>
                        </pic:spPr>
                      </pic:pic>
                    </a:graphicData>
                  </a:graphic>
                </wp:inline>
              </w:drawing>
            </w:r>
            <w:r w:rsidRPr="00B150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i)</w:t>
            </w:r>
          </w:p>
        </w:tc>
      </w:tr>
      <w:tr w:rsidR="00B150BC" w:rsidRPr="00B150BC" w:rsidTr="00B150BC">
        <w:trPr>
          <w:trHeight w:val="420"/>
          <w:tblCellSpacing w:w="7" w:type="dxa"/>
          <w:jc w:val="center"/>
        </w:trPr>
        <w:tc>
          <w:tcPr>
            <w:tcW w:w="0" w:type="auto"/>
            <w:vMerge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vAlign w:val="center"/>
            <w:hideMark/>
          </w:tcPr>
          <w:p w:rsidR="00B150BC" w:rsidRPr="00B150BC" w:rsidRDefault="00B150BC" w:rsidP="00B150BC">
            <w:pPr>
              <w:spacing w:after="0" w:line="240" w:lineRule="auto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0BC" w:rsidRPr="00B150BC" w:rsidRDefault="00B150BC" w:rsidP="00B150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proofErr w:type="gramStart"/>
            <w:r w:rsidRPr="00B150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КМ</w:t>
            </w:r>
            <w:proofErr w:type="gramEnd"/>
            <w:r w:rsidRPr="00B150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 xml:space="preserve"> -1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0BC" w:rsidRPr="00B150BC" w:rsidRDefault="00B150BC" w:rsidP="00B150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0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KM- 2</w:t>
            </w:r>
          </w:p>
        </w:tc>
      </w:tr>
      <w:tr w:rsidR="00B150BC" w:rsidRPr="00B150BC" w:rsidTr="00B150BC">
        <w:trPr>
          <w:trHeight w:val="2025"/>
          <w:tblCellSpacing w:w="7" w:type="dxa"/>
          <w:jc w:val="center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0BC" w:rsidRPr="00B150BC" w:rsidRDefault="00B150BC" w:rsidP="00B150B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Надежность </w:t>
            </w:r>
          </w:p>
          <w:p w:rsidR="00B150BC" w:rsidRPr="00B150BC" w:rsidRDefault="00B150BC" w:rsidP="00B150B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Количество копий </w:t>
            </w:r>
          </w:p>
          <w:p w:rsidR="00B150BC" w:rsidRPr="00B150BC" w:rsidRDefault="00B150BC" w:rsidP="00B150B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Дополнительные возможности </w:t>
            </w:r>
          </w:p>
          <w:p w:rsidR="00B150BC" w:rsidRPr="00B150BC" w:rsidRDefault="00B150BC" w:rsidP="00B150B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Легкость эксплуатации </w:t>
            </w:r>
          </w:p>
          <w:p w:rsidR="00B150BC" w:rsidRPr="00B150BC" w:rsidRDefault="00B150BC" w:rsidP="00B150B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Скорость копирования </w:t>
            </w:r>
          </w:p>
          <w:p w:rsidR="00B150BC" w:rsidRPr="00B150BC" w:rsidRDefault="00B150BC" w:rsidP="00B150BC">
            <w:pPr>
              <w:numPr>
                <w:ilvl w:val="0"/>
                <w:numId w:val="3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Размеры 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0BC" w:rsidRPr="00B150BC" w:rsidRDefault="00B150BC" w:rsidP="00B1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0,30 х 85 = 25,50 27,00 </w:t>
            </w:r>
          </w:p>
          <w:p w:rsidR="00B150BC" w:rsidRPr="00B150BC" w:rsidRDefault="00B150BC" w:rsidP="00B1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14,00</w:t>
            </w:r>
          </w:p>
          <w:p w:rsidR="00B150BC" w:rsidRPr="00B150BC" w:rsidRDefault="00B150BC" w:rsidP="00B1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9,00</w:t>
            </w:r>
          </w:p>
          <w:p w:rsidR="00B150BC" w:rsidRPr="00B150BC" w:rsidRDefault="00B150BC" w:rsidP="00B1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3,25 </w:t>
            </w:r>
          </w:p>
          <w:p w:rsidR="00B150BC" w:rsidRPr="00B150BC" w:rsidRDefault="00B150BC" w:rsidP="00B1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3,00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0BC" w:rsidRPr="00B150BC" w:rsidRDefault="00B150BC" w:rsidP="00B1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0,3 х 75 = 22,50 24,00 </w:t>
            </w:r>
          </w:p>
          <w:p w:rsidR="00B150BC" w:rsidRPr="00B150BC" w:rsidRDefault="00B150BC" w:rsidP="00B1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15,00</w:t>
            </w:r>
          </w:p>
          <w:p w:rsidR="00B150BC" w:rsidRPr="00B150BC" w:rsidRDefault="00B150BC" w:rsidP="00B1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9,00 </w:t>
            </w:r>
          </w:p>
          <w:p w:rsidR="00B150BC" w:rsidRPr="00B150BC" w:rsidRDefault="00B150BC" w:rsidP="00B1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3,25</w:t>
            </w:r>
          </w:p>
          <w:p w:rsidR="00B150BC" w:rsidRPr="00B150BC" w:rsidRDefault="00B150BC" w:rsidP="00B150BC">
            <w:pPr>
              <w:spacing w:after="0" w:line="240" w:lineRule="auto"/>
              <w:jc w:val="center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4,75</w:t>
            </w:r>
          </w:p>
        </w:tc>
      </w:tr>
      <w:tr w:rsidR="00B150BC" w:rsidRPr="00B150BC" w:rsidTr="00B150BC">
        <w:trPr>
          <w:trHeight w:val="435"/>
          <w:tblCellSpacing w:w="7" w:type="dxa"/>
          <w:jc w:val="center"/>
        </w:trPr>
        <w:tc>
          <w:tcPr>
            <w:tcW w:w="24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0BC" w:rsidRPr="00B150BC" w:rsidRDefault="00B150BC" w:rsidP="00B1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Итого</w:t>
            </w:r>
          </w:p>
        </w:tc>
        <w:tc>
          <w:tcPr>
            <w:tcW w:w="1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0BC" w:rsidRPr="00B150BC" w:rsidRDefault="00B150BC" w:rsidP="00B150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0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81,75</w:t>
            </w:r>
          </w:p>
        </w:tc>
        <w:tc>
          <w:tcPr>
            <w:tcW w:w="14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0BC" w:rsidRPr="00B150BC" w:rsidRDefault="00B150BC" w:rsidP="00B150BC">
            <w:pPr>
              <w:spacing w:before="100" w:beforeAutospacing="1" w:after="100" w:afterAutospacing="1" w:line="240" w:lineRule="auto"/>
              <w:jc w:val="center"/>
              <w:rPr>
                <w:rFonts w:ascii="Arial" w:eastAsia="Times New Roman" w:hAnsi="Arial" w:cs="Arial"/>
                <w:sz w:val="24"/>
                <w:szCs w:val="24"/>
                <w:lang w:eastAsia="ru-RU"/>
              </w:rPr>
            </w:pPr>
            <w:r w:rsidRPr="00B150BC">
              <w:rPr>
                <w:rFonts w:ascii="Arial" w:eastAsia="Times New Roman" w:hAnsi="Arial" w:cs="Arial"/>
                <w:sz w:val="24"/>
                <w:szCs w:val="24"/>
                <w:lang w:eastAsia="ru-RU"/>
              </w:rPr>
              <w:t>78,50</w:t>
            </w:r>
          </w:p>
        </w:tc>
      </w:tr>
    </w:tbl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>       2. Рассчитаем приведенный параметрический индекс как соотношение средневзвешенных индексов изделий-конкурентов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3235960" cy="540385"/>
            <wp:effectExtent l="0" t="0" r="2540" b="0"/>
            <wp:docPr id="3" name="Рисунок 3" descr="F:\учеба\Ценообразование\images\Image3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3" descr="F:\учеба\Ценообразование\images\Image3.gif"/>
                    <pic:cNvPicPr>
                      <a:picLocks noChangeAspect="1" noChangeArrowheads="1"/>
                    </pic:cNvPicPr>
                  </pic:nvPicPr>
                  <pic:blipFill>
                    <a:blip r:embed="rId8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3235960" cy="54038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      3. Определяем цену КМ-2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632075" cy="469265"/>
            <wp:effectExtent l="0" t="0" r="0" b="6985"/>
            <wp:docPr id="2" name="Рисунок 2" descr="F:\учеба\Ценообразование\images\Image4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4" descr="F:\учеба\Ценообразование\images\Image4.gif"/>
                    <pic:cNvPicPr>
                      <a:picLocks noChangeAspect="1" noChangeArrowheads="1"/>
                    </pic:cNvPicPr>
                  </pic:nvPicPr>
                  <pic:blipFill>
                    <a:blip r:embed="rId9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632075" cy="469265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>       Метод регрессионного анализа применительно к ценообразованию заключается в определении эмпирических формул (регрессионных уравнений) зависимости цен от изменения параметров качества в пределах параметрического ряда изделий.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>       </w:t>
      </w:r>
      <w:r w:rsidRPr="00B150BC">
        <w:rPr>
          <w:rFonts w:ascii="Arial" w:eastAsia="Times New Roman" w:hAnsi="Arial" w:cs="Arial"/>
          <w:sz w:val="24"/>
          <w:szCs w:val="24"/>
          <w:u w:val="single"/>
          <w:lang w:eastAsia="ru-RU"/>
        </w:rPr>
        <w:t>Затратные методы ценообразования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 xml:space="preserve">       При установлении цены на основе калькуляции полной себестоимости необходимо учитывать структуру цены, приведенную на </w:t>
      </w:r>
      <w:hyperlink r:id="rId10" w:tgtFrame="_new" w:history="1">
        <w:r w:rsidRPr="00B150BC">
          <w:rPr>
            <w:rFonts w:ascii="Arial" w:eastAsia="Times New Roman" w:hAnsi="Arial" w:cs="Arial"/>
            <w:color w:val="0000FF"/>
            <w:sz w:val="24"/>
            <w:szCs w:val="24"/>
            <w:u w:val="single"/>
            <w:lang w:eastAsia="ru-RU"/>
          </w:rPr>
          <w:t>рисунке №1.</w:t>
        </w:r>
      </w:hyperlink>
    </w:p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>       При выборе наиболее приемлемой цены с точки зрения получения наибольшей прибыли и рентабельности необходимо учесть налог, включенный в цену реализации (НДС).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>       Выбор цены с позиций эффективности использования капитальных вложений можно осуществлять на базе методик сравнительной эффективности капитальных вложений.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>       </w:t>
      </w:r>
      <w:r w:rsidRPr="00B150BC">
        <w:rPr>
          <w:rFonts w:ascii="Arial" w:eastAsia="Times New Roman" w:hAnsi="Arial" w:cs="Arial"/>
          <w:sz w:val="24"/>
          <w:szCs w:val="24"/>
          <w:u w:val="single"/>
          <w:lang w:eastAsia="ru-RU"/>
        </w:rPr>
        <w:t>Метод безубыточности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>       Определение цен методом безубыточности используется теми компаниями, которые начинают принимать во внимание рыночные факторы. Этот метод дает возможность сравнить размеры прибыли, получаемой при различных ценах, и позволяет при определенной норме прибыли, продавать товар по цене, позволяющей получить эту прибыль при определенной программе выпуска. При использовании этого метода необходимо решить несколько задач:</w:t>
      </w:r>
    </w:p>
    <w:p w:rsidR="00B150BC" w:rsidRPr="00B150BC" w:rsidRDefault="00B150BC" w:rsidP="00B150BC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 xml:space="preserve">оценить полные затраты при различных программах выпуска продукции; </w:t>
      </w:r>
    </w:p>
    <w:p w:rsidR="00B150BC" w:rsidRPr="00B150BC" w:rsidRDefault="00B150BC" w:rsidP="00B150BC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 xml:space="preserve">оценить предполагаемый в течение планируемого периода объем выпуска продукции; </w:t>
      </w:r>
    </w:p>
    <w:p w:rsidR="00B150BC" w:rsidRPr="00B150BC" w:rsidRDefault="00B150BC" w:rsidP="00B150BC">
      <w:pPr>
        <w:numPr>
          <w:ilvl w:val="0"/>
          <w:numId w:val="4"/>
        </w:numPr>
        <w:spacing w:before="100" w:beforeAutospacing="1" w:after="100" w:afterAutospacing="1" w:line="240" w:lineRule="auto"/>
        <w:ind w:left="1440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 xml:space="preserve">установить задание по коэффициенту окупаемости капиталовложений. 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>       Допустим, полные затраты на производство составляют 16 млн. руб., предполагаемый объем выпуска продукции 75 тыс. ед., коэффициент окупаемости</w:t>
      </w:r>
      <w:proofErr w:type="gramStart"/>
      <w:r w:rsidRPr="00B150BC">
        <w:rPr>
          <w:rFonts w:ascii="Arial" w:eastAsia="Times New Roman" w:hAnsi="Arial" w:cs="Arial"/>
          <w:sz w:val="24"/>
          <w:szCs w:val="24"/>
          <w:lang w:eastAsia="ru-RU"/>
        </w:rPr>
        <w:t xml:space="preserve"> Е</w:t>
      </w:r>
      <w:proofErr w:type="gramEnd"/>
      <w:r w:rsidRPr="00B150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r w:rsidRPr="00B150BC">
        <w:rPr>
          <w:rFonts w:ascii="Arial" w:eastAsia="Times New Roman" w:hAnsi="Arial" w:cs="Arial"/>
          <w:i/>
          <w:iCs/>
          <w:sz w:val="24"/>
          <w:szCs w:val="24"/>
          <w:lang w:eastAsia="ru-RU"/>
        </w:rPr>
        <w:t>=</w:t>
      </w:r>
      <w:r w:rsidRPr="00B150BC">
        <w:rPr>
          <w:rFonts w:ascii="Arial" w:eastAsia="Times New Roman" w:hAnsi="Arial" w:cs="Arial"/>
          <w:sz w:val="24"/>
          <w:szCs w:val="24"/>
          <w:lang w:eastAsia="ru-RU"/>
        </w:rPr>
        <w:t xml:space="preserve"> 25%. Тогда сумма прибыли, которая должны быть получена составит 16 х 0,25 = 4 млн. руб., а общая выручка от продажи 75 тыс. единиц продукции составит 20 млн. руб. (16 + 4 = 20). Следовательно, цена единицы продукции, определенная делением общей выручки на объем выпуска, составит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>       20</w:t>
      </w:r>
      <w:proofErr w:type="gramStart"/>
      <w:r w:rsidRPr="00B150BC">
        <w:rPr>
          <w:rFonts w:ascii="Arial" w:eastAsia="Times New Roman" w:hAnsi="Arial" w:cs="Arial"/>
          <w:sz w:val="24"/>
          <w:szCs w:val="24"/>
          <w:lang w:eastAsia="ru-RU"/>
        </w:rPr>
        <w:t xml:space="preserve"> :</w:t>
      </w:r>
      <w:proofErr w:type="gramEnd"/>
      <w:r w:rsidRPr="00B150BC">
        <w:rPr>
          <w:rFonts w:ascii="Arial" w:eastAsia="Times New Roman" w:hAnsi="Arial" w:cs="Arial"/>
          <w:sz w:val="24"/>
          <w:szCs w:val="24"/>
          <w:lang w:eastAsia="ru-RU"/>
        </w:rPr>
        <w:t xml:space="preserve"> 75 = 0,267 млн. руб.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>       Но поскольку оценочный объем продаж сам зависит от цены товара, необходимо построить дополнительно функцию зависимости спроса от уровня цены.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lastRenderedPageBreak/>
        <w:t>       </w:t>
      </w:r>
      <w:r w:rsidRPr="00B150BC">
        <w:rPr>
          <w:rFonts w:ascii="Arial" w:eastAsia="Times New Roman" w:hAnsi="Arial" w:cs="Arial"/>
          <w:sz w:val="24"/>
          <w:szCs w:val="24"/>
          <w:u w:val="single"/>
          <w:lang w:eastAsia="ru-RU"/>
        </w:rPr>
        <w:t>Определение скользящих цен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 xml:space="preserve">       Скользящая цена определяется при </w:t>
      </w:r>
      <w:proofErr w:type="spellStart"/>
      <w:r w:rsidRPr="00B150BC">
        <w:rPr>
          <w:rFonts w:ascii="Arial" w:eastAsia="Times New Roman" w:hAnsi="Arial" w:cs="Arial"/>
          <w:sz w:val="24"/>
          <w:szCs w:val="24"/>
          <w:lang w:eastAsia="ru-RU"/>
        </w:rPr>
        <w:t>iioctodkiix</w:t>
      </w:r>
      <w:proofErr w:type="spellEnd"/>
      <w:r w:rsidRPr="00B150BC">
        <w:rPr>
          <w:rFonts w:ascii="Arial" w:eastAsia="Times New Roman" w:hAnsi="Arial" w:cs="Arial"/>
          <w:sz w:val="24"/>
          <w:szCs w:val="24"/>
          <w:lang w:eastAsia="ru-RU"/>
        </w:rPr>
        <w:t xml:space="preserve"> </w:t>
      </w:r>
      <w:proofErr w:type="gramStart"/>
      <w:r w:rsidRPr="00B150BC">
        <w:rPr>
          <w:rFonts w:ascii="Arial" w:eastAsia="Times New Roman" w:hAnsi="Arial" w:cs="Arial"/>
          <w:sz w:val="24"/>
          <w:szCs w:val="24"/>
          <w:lang w:eastAsia="ru-RU"/>
        </w:rPr>
        <w:t>продукции</w:t>
      </w:r>
      <w:proofErr w:type="gramEnd"/>
      <w:r w:rsidRPr="00B150BC">
        <w:rPr>
          <w:rFonts w:ascii="Arial" w:eastAsia="Times New Roman" w:hAnsi="Arial" w:cs="Arial"/>
          <w:sz w:val="24"/>
          <w:szCs w:val="24"/>
          <w:lang w:eastAsia="ru-RU"/>
        </w:rPr>
        <w:t xml:space="preserve"> но контрактам. При этом определяется базовая и окончательная цена поставки. Базовая цена рассчитывается предприятием-изготовителем Она согласовывается с покупателем при подписании контракта. Окончательная цена рассчитывается по формуле:</w:t>
      </w:r>
    </w:p>
    <w:p w:rsidR="00B150BC" w:rsidRPr="00B150BC" w:rsidRDefault="00B150BC" w:rsidP="00B150BC">
      <w:pPr>
        <w:spacing w:after="0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>
        <w:rPr>
          <w:rFonts w:ascii="Arial" w:eastAsia="Times New Roman" w:hAnsi="Arial" w:cs="Arial"/>
          <w:noProof/>
          <w:sz w:val="24"/>
          <w:szCs w:val="24"/>
          <w:lang w:eastAsia="ru-RU"/>
        </w:rPr>
        <w:drawing>
          <wp:inline distT="0" distB="0" distL="0" distR="0">
            <wp:extent cx="2560320" cy="580390"/>
            <wp:effectExtent l="0" t="0" r="0" b="0"/>
            <wp:docPr id="1" name="Рисунок 1" descr="F:\учеба\Ценообразование\images\Image5.gif"/>
            <wp:cNvGraphicFramePr>
              <a:graphicFrameLocks xmlns:a="http://schemas.openxmlformats.org/drawingml/2006/main" noChangeAspect="1"/>
            </wp:cNvGraphicFramePr>
            <a:graphic xmlns:a="http://schemas.openxmlformats.org/drawingml/2006/main">
              <a:graphicData uri="http://schemas.openxmlformats.org/drawingml/2006/picture">
                <pic:pic xmlns:pic="http://schemas.openxmlformats.org/drawingml/2006/picture">
                  <pic:nvPicPr>
                    <pic:cNvPr id="0" name="Picture 5" descr="F:\учеба\Ценообразование\images\Image5.gif"/>
                    <pic:cNvPicPr>
                      <a:picLocks noChangeAspect="1" noChangeArrowheads="1"/>
                    </pic:cNvPicPr>
                  </pic:nvPicPr>
                  <pic:blipFill>
                    <a:blip r:embed="rId11">
                      <a:extLst>
                        <a:ext uri="{28A0092B-C50C-407E-A947-70E740481C1C}">
                          <a14:useLocalDpi xmlns:a14="http://schemas.microsoft.com/office/drawing/2010/main" val="0"/>
                        </a:ext>
                      </a:extLst>
                    </a:blip>
                    <a:srcRect/>
                    <a:stretch>
                      <a:fillRect/>
                    </a:stretch>
                  </pic:blipFill>
                  <pic:spPr bwMode="auto">
                    <a:xfrm>
                      <a:off x="0" y="0"/>
                      <a:ext cx="2560320" cy="580390"/>
                    </a:xfrm>
                    <a:prstGeom prst="rect">
                      <a:avLst/>
                    </a:prstGeom>
                    <a:noFill/>
                    <a:ln>
                      <a:noFill/>
                    </a:ln>
                  </pic:spPr>
                </pic:pic>
              </a:graphicData>
            </a:graphic>
          </wp:inline>
        </w:drawing>
      </w:r>
      <w:r w:rsidRPr="00B150BC">
        <w:rPr>
          <w:rFonts w:ascii="Arial" w:eastAsia="Times New Roman" w:hAnsi="Arial" w:cs="Arial"/>
          <w:sz w:val="24"/>
          <w:szCs w:val="24"/>
          <w:lang w:eastAsia="ru-RU"/>
        </w:rPr>
        <w:t>(2)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>       где Ц</w:t>
      </w:r>
      <w:proofErr w:type="gramStart"/>
      <w:r w:rsidRPr="00B150B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1</w:t>
      </w:r>
      <w:proofErr w:type="gramEnd"/>
      <w:r w:rsidRPr="00B150B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</w:t>
      </w:r>
      <w:r w:rsidRPr="00B150BC">
        <w:rPr>
          <w:rFonts w:ascii="Arial" w:eastAsia="Times New Roman" w:hAnsi="Arial" w:cs="Arial"/>
          <w:sz w:val="24"/>
          <w:szCs w:val="24"/>
          <w:lang w:eastAsia="ru-RU"/>
        </w:rPr>
        <w:t>– окончательная цена;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>       Ц</w:t>
      </w:r>
      <w:proofErr w:type="gramStart"/>
      <w:r w:rsidRPr="00B150B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0</w:t>
      </w:r>
      <w:proofErr w:type="gramEnd"/>
      <w:r w:rsidRPr="00B150B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 xml:space="preserve"> </w:t>
      </w:r>
      <w:r w:rsidRPr="00B150BC">
        <w:rPr>
          <w:rFonts w:ascii="Arial" w:eastAsia="Times New Roman" w:hAnsi="Arial" w:cs="Arial"/>
          <w:sz w:val="24"/>
          <w:szCs w:val="24"/>
          <w:lang w:eastAsia="ru-RU"/>
        </w:rPr>
        <w:t>– базовая цена;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>       М</w:t>
      </w:r>
      <w:proofErr w:type="gramStart"/>
      <w:r w:rsidRPr="00B150B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0</w:t>
      </w:r>
      <w:proofErr w:type="gramEnd"/>
      <w:r w:rsidRPr="00B150BC">
        <w:rPr>
          <w:rFonts w:ascii="Arial" w:eastAsia="Times New Roman" w:hAnsi="Arial" w:cs="Arial"/>
          <w:sz w:val="24"/>
          <w:szCs w:val="24"/>
          <w:lang w:eastAsia="ru-RU"/>
        </w:rPr>
        <w:t xml:space="preserve"> – среднеарифметическая цена (индекс цены) на сырье и материалы, используемые в момент подписания контакта;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>       М</w:t>
      </w:r>
      <w:proofErr w:type="gramStart"/>
      <w:r w:rsidRPr="00B150B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1</w:t>
      </w:r>
      <w:proofErr w:type="gramEnd"/>
      <w:r w:rsidRPr="00B150BC">
        <w:rPr>
          <w:rFonts w:ascii="Arial" w:eastAsia="Times New Roman" w:hAnsi="Arial" w:cs="Arial"/>
          <w:sz w:val="24"/>
          <w:szCs w:val="24"/>
          <w:lang w:eastAsia="ru-RU"/>
        </w:rPr>
        <w:t xml:space="preserve"> – индекс цены на сырье и материалы в период их закупки;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>       S</w:t>
      </w:r>
      <w:r w:rsidRPr="00B150B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0</w:t>
      </w:r>
      <w:r w:rsidRPr="00B150BC">
        <w:rPr>
          <w:rFonts w:ascii="Arial" w:eastAsia="Times New Roman" w:hAnsi="Arial" w:cs="Arial"/>
          <w:sz w:val="24"/>
          <w:szCs w:val="24"/>
          <w:lang w:eastAsia="ru-RU"/>
        </w:rPr>
        <w:t xml:space="preserve"> и S</w:t>
      </w:r>
      <w:r w:rsidRPr="00B150BC">
        <w:rPr>
          <w:rFonts w:ascii="Arial" w:eastAsia="Times New Roman" w:hAnsi="Arial" w:cs="Arial"/>
          <w:sz w:val="24"/>
          <w:szCs w:val="24"/>
          <w:vertAlign w:val="subscript"/>
          <w:lang w:eastAsia="ru-RU"/>
        </w:rPr>
        <w:t>1</w:t>
      </w:r>
      <w:r w:rsidRPr="00B150BC">
        <w:rPr>
          <w:rFonts w:ascii="Arial" w:eastAsia="Times New Roman" w:hAnsi="Arial" w:cs="Arial"/>
          <w:sz w:val="24"/>
          <w:szCs w:val="24"/>
          <w:lang w:eastAsia="ru-RU"/>
        </w:rPr>
        <w:t xml:space="preserve"> – индексы заработной платы соответственно по периодам подписания контракта и пересчета цены;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>       А – коэффициент торможения, т.е. неизменная доля в переменной части цены, отражает амортизационные отчисления и планируемую прибыль;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>       В и</w:t>
      </w:r>
      <w:proofErr w:type="gramStart"/>
      <w:r w:rsidRPr="00B150BC">
        <w:rPr>
          <w:rFonts w:ascii="Arial" w:eastAsia="Times New Roman" w:hAnsi="Arial" w:cs="Arial"/>
          <w:sz w:val="24"/>
          <w:szCs w:val="24"/>
          <w:lang w:eastAsia="ru-RU"/>
        </w:rPr>
        <w:t xml:space="preserve"> С</w:t>
      </w:r>
      <w:proofErr w:type="gramEnd"/>
      <w:r w:rsidRPr="00B150BC">
        <w:rPr>
          <w:rFonts w:ascii="Arial" w:eastAsia="Times New Roman" w:hAnsi="Arial" w:cs="Arial"/>
          <w:sz w:val="24"/>
          <w:szCs w:val="24"/>
          <w:lang w:eastAsia="ru-RU"/>
        </w:rPr>
        <w:t xml:space="preserve"> – коэффициенты удельных весов элементов цены.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>       Скользящая цена рассчитывается на основе принципа скольжения, позволяющего учитывать изменения в издержках производства, которые имели место за период времени, необходимый для изготовления продукции.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>       </w:t>
      </w:r>
      <w:r w:rsidRPr="00B150BC">
        <w:rPr>
          <w:rFonts w:ascii="Arial" w:eastAsia="Times New Roman" w:hAnsi="Arial" w:cs="Arial"/>
          <w:sz w:val="24"/>
          <w:szCs w:val="24"/>
          <w:u w:val="single"/>
          <w:lang w:eastAsia="ru-RU"/>
        </w:rPr>
        <w:t>Использование усеченной калькуляции для принятия решении по ценам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 xml:space="preserve">       Первым этапом в процессе принятия решения об установлении цены является анализ всех издержек производства. Для этого определяется структура постоянных и переменных издержек с учетом того, что общепроизводственные накладные и общехозяйственные расходы являются частично постоянными и частично переменными затратами. На основе информации о структуре составляется проформа калькуляции затрат с выделением переменных издержек и маржинальной (предельной) прибыли (таблица №8). 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>Таблица №8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>Проект калькуляции прибыли, составленной на базе данных о переменных и постоянных издержках</w:t>
      </w:r>
    </w:p>
    <w:tbl>
      <w:tblPr>
        <w:tblW w:w="8400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5362"/>
        <w:gridCol w:w="1432"/>
        <w:gridCol w:w="1606"/>
      </w:tblGrid>
      <w:tr w:rsidR="00B150BC" w:rsidRPr="00B150BC" w:rsidTr="00B150BC">
        <w:trPr>
          <w:trHeight w:val="675"/>
          <w:tblCellSpacing w:w="7" w:type="dxa"/>
          <w:jc w:val="center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0BC" w:rsidRPr="00B150BC" w:rsidRDefault="00B150BC" w:rsidP="00B1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Наименование показателей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0BC" w:rsidRPr="00B150BC" w:rsidRDefault="00B150BC" w:rsidP="00B1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Всего, млн. долл.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0BC" w:rsidRPr="00B150BC" w:rsidRDefault="00B150BC" w:rsidP="00B1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В расчете на ед., долл.</w:t>
            </w:r>
          </w:p>
        </w:tc>
      </w:tr>
      <w:tr w:rsidR="00B150BC" w:rsidRPr="00B150BC" w:rsidTr="00B150BC">
        <w:trPr>
          <w:trHeight w:val="4215"/>
          <w:tblCellSpacing w:w="7" w:type="dxa"/>
          <w:jc w:val="center"/>
        </w:trPr>
        <w:tc>
          <w:tcPr>
            <w:tcW w:w="32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0BC" w:rsidRPr="00B150BC" w:rsidRDefault="00B150BC" w:rsidP="00B1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Поступления от продаж</w:t>
            </w:r>
            <w:r w:rsidRPr="00B1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Переменные издержки, всего</w:t>
            </w:r>
            <w:proofErr w:type="gramStart"/>
            <w:r w:rsidRPr="00B1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В</w:t>
            </w:r>
            <w:proofErr w:type="gramEnd"/>
            <w:r w:rsidRPr="00B1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том числе:</w:t>
            </w:r>
          </w:p>
          <w:p w:rsidR="00B150BC" w:rsidRPr="00B150BC" w:rsidRDefault="00B150BC" w:rsidP="00B150B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сырье и материалы </w:t>
            </w:r>
          </w:p>
          <w:p w:rsidR="00B150BC" w:rsidRPr="00B150BC" w:rsidRDefault="00B150BC" w:rsidP="00B150B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заработную плату производственных рабочих </w:t>
            </w:r>
          </w:p>
          <w:p w:rsidR="00B150BC" w:rsidRPr="00B150BC" w:rsidRDefault="00B150BC" w:rsidP="00B150B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на общепроизводственные накладные расходы </w:t>
            </w:r>
          </w:p>
          <w:p w:rsidR="00B150BC" w:rsidRPr="00B150BC" w:rsidRDefault="00B150BC" w:rsidP="00B150B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прямые торговые </w:t>
            </w:r>
          </w:p>
          <w:p w:rsidR="00B150BC" w:rsidRPr="00B150BC" w:rsidRDefault="00B150BC" w:rsidP="00B150BC">
            <w:pPr>
              <w:numPr>
                <w:ilvl w:val="0"/>
                <w:numId w:val="5"/>
              </w:numPr>
              <w:spacing w:before="100" w:beforeAutospacing="1" w:after="100" w:afterAutospacing="1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proofErr w:type="gramStart"/>
            <w:r w:rsidRPr="00B1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транспортные</w:t>
            </w:r>
            <w:proofErr w:type="gramEnd"/>
            <w:r w:rsidRPr="00B1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 xml:space="preserve"> и на распределение </w:t>
            </w:r>
          </w:p>
          <w:p w:rsidR="00B150BC" w:rsidRPr="00B150BC" w:rsidRDefault="00B150BC" w:rsidP="00B1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Маржинальная прибыль</w:t>
            </w:r>
            <w:bookmarkStart w:id="0" w:name="_GoBack"/>
            <w:bookmarkEnd w:id="0"/>
            <w:r w:rsidRPr="00B1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Постоянные издержки</w:t>
            </w:r>
            <w:r w:rsidRPr="00B1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Прибыль</w:t>
            </w:r>
          </w:p>
        </w:tc>
        <w:tc>
          <w:tcPr>
            <w:tcW w:w="8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0BC" w:rsidRPr="00B150BC" w:rsidRDefault="00B150BC" w:rsidP="00B1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9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0BC" w:rsidRPr="00B150BC" w:rsidRDefault="00B150BC" w:rsidP="00B1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>       В составе общепроизводственных накладных расходов необходимо учесть отчисления, определяемые от заработной платы, и расходы на упаковку.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>       Маржинальная (предельная) прибыль представляет собой разницу между поступлениями от продаж и переменными издержками на изготовление товара. Маржинальная прибыль идет на покрытие постоянных расходов, а остающаяся от этого разница представляет собой прибыль предприятия.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>       Следующим этапом является исследование тактики продаж и уровней цен, которые могут максимизировать маржинальную прибыль. На основе данные о предполагаемых объемах продаж при различных уровнях цен рассчитывается маржинальная прибыль для каждого случая. Для этого используется следующая формула: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>Пм=(</w:t>
      </w:r>
      <w:proofErr w:type="gramStart"/>
      <w:r w:rsidRPr="00B150BC">
        <w:rPr>
          <w:rFonts w:ascii="Arial" w:eastAsia="Times New Roman" w:hAnsi="Arial" w:cs="Arial"/>
          <w:sz w:val="24"/>
          <w:szCs w:val="24"/>
          <w:lang w:eastAsia="ru-RU"/>
        </w:rPr>
        <w:t>Ц</w:t>
      </w:r>
      <w:proofErr w:type="gramEnd"/>
      <w:r w:rsidRPr="00B150BC">
        <w:rPr>
          <w:rFonts w:ascii="Arial" w:eastAsia="Times New Roman" w:hAnsi="Arial" w:cs="Arial"/>
          <w:sz w:val="24"/>
          <w:szCs w:val="24"/>
          <w:lang w:eastAsia="ru-RU"/>
        </w:rPr>
        <w:t xml:space="preserve"> – Спер)</w:t>
      </w:r>
      <w:proofErr w:type="spellStart"/>
      <w:r w:rsidRPr="00B150BC">
        <w:rPr>
          <w:rFonts w:ascii="Arial" w:eastAsia="Times New Roman" w:hAnsi="Arial" w:cs="Arial"/>
          <w:sz w:val="24"/>
          <w:szCs w:val="24"/>
          <w:lang w:eastAsia="ru-RU"/>
        </w:rPr>
        <w:t>хQ</w:t>
      </w:r>
      <w:proofErr w:type="spellEnd"/>
      <w:r w:rsidRPr="00B150BC">
        <w:rPr>
          <w:rFonts w:ascii="Arial" w:eastAsia="Times New Roman" w:hAnsi="Arial" w:cs="Arial"/>
          <w:sz w:val="24"/>
          <w:szCs w:val="24"/>
          <w:lang w:eastAsia="ru-RU"/>
        </w:rPr>
        <w:t xml:space="preserve">, (3) 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>       где Пм - суммарная маржинальная прибыль, тыс. долл.;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>       </w:t>
      </w:r>
      <w:proofErr w:type="gramStart"/>
      <w:r w:rsidRPr="00B150BC">
        <w:rPr>
          <w:rFonts w:ascii="Arial" w:eastAsia="Times New Roman" w:hAnsi="Arial" w:cs="Arial"/>
          <w:sz w:val="24"/>
          <w:szCs w:val="24"/>
          <w:lang w:eastAsia="ru-RU"/>
        </w:rPr>
        <w:t>Ц</w:t>
      </w:r>
      <w:proofErr w:type="gramEnd"/>
      <w:r w:rsidRPr="00B150BC">
        <w:rPr>
          <w:rFonts w:ascii="Arial" w:eastAsia="Times New Roman" w:hAnsi="Arial" w:cs="Arial"/>
          <w:sz w:val="24"/>
          <w:szCs w:val="24"/>
          <w:lang w:eastAsia="ru-RU"/>
        </w:rPr>
        <w:t xml:space="preserve"> — цена единицы изделия, тыс. долл.;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>       Спер — переменные издержки на единицу изделия, тыс. долл.;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>       Q — предполагаемый объем продаж, единиц.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>       Так как постоянные издержки являются независимыми от объема продаж, то для максимизации маржинальной прибыли необходимо выбрать наиболее выгодную комбинацию цены, умноженной на предполагаемый объем продаж.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>       Результаты расчетов должны быть представлены в таблице (см. таблицу №9), а по ним сделан вывод.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 xml:space="preserve">Таблица №9 </w:t>
      </w:r>
    </w:p>
    <w:p w:rsidR="00B150BC" w:rsidRPr="00B150BC" w:rsidRDefault="00B150BC" w:rsidP="00B150BC">
      <w:pPr>
        <w:spacing w:before="100" w:beforeAutospacing="1" w:after="100" w:afterAutospacing="1" w:line="240" w:lineRule="auto"/>
        <w:jc w:val="center"/>
        <w:rPr>
          <w:rFonts w:ascii="Arial" w:eastAsia="Times New Roman" w:hAnsi="Arial" w:cs="Arial"/>
          <w:sz w:val="24"/>
          <w:szCs w:val="24"/>
          <w:lang w:eastAsia="ru-RU"/>
        </w:rPr>
      </w:pPr>
      <w:r w:rsidRPr="00B150BC">
        <w:rPr>
          <w:rFonts w:ascii="Arial" w:eastAsia="Times New Roman" w:hAnsi="Arial" w:cs="Arial"/>
          <w:sz w:val="24"/>
          <w:szCs w:val="24"/>
          <w:lang w:eastAsia="ru-RU"/>
        </w:rPr>
        <w:t>Маржинальная прибыль</w:t>
      </w:r>
    </w:p>
    <w:tbl>
      <w:tblPr>
        <w:tblW w:w="8715" w:type="dxa"/>
        <w:jc w:val="center"/>
        <w:tblCellSpacing w:w="7" w:type="dxa"/>
        <w:tblBorders>
          <w:top w:val="outset" w:sz="6" w:space="0" w:color="auto"/>
          <w:left w:val="outset" w:sz="6" w:space="0" w:color="auto"/>
          <w:bottom w:val="outset" w:sz="6" w:space="0" w:color="auto"/>
          <w:right w:val="outset" w:sz="6" w:space="0" w:color="auto"/>
        </w:tblBorders>
        <w:tblCellMar>
          <w:top w:w="30" w:type="dxa"/>
          <w:left w:w="30" w:type="dxa"/>
          <w:bottom w:w="30" w:type="dxa"/>
          <w:right w:w="30" w:type="dxa"/>
        </w:tblCellMar>
        <w:tblLook w:val="04A0" w:firstRow="1" w:lastRow="0" w:firstColumn="1" w:lastColumn="0" w:noHBand="0" w:noVBand="1"/>
      </w:tblPr>
      <w:tblGrid>
        <w:gridCol w:w="3985"/>
        <w:gridCol w:w="14"/>
        <w:gridCol w:w="1307"/>
        <w:gridCol w:w="1134"/>
        <w:gridCol w:w="1134"/>
        <w:gridCol w:w="1141"/>
      </w:tblGrid>
      <w:tr w:rsidR="00B150BC" w:rsidRPr="00B150BC" w:rsidTr="00B150BC">
        <w:trPr>
          <w:trHeight w:val="300"/>
          <w:tblCellSpacing w:w="7" w:type="dxa"/>
          <w:jc w:val="center"/>
        </w:trPr>
        <w:tc>
          <w:tcPr>
            <w:tcW w:w="230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0BC" w:rsidRPr="00B150BC" w:rsidRDefault="00B150BC" w:rsidP="00B1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lastRenderedPageBreak/>
              <w:t>Наименование показателей</w:t>
            </w:r>
          </w:p>
        </w:tc>
        <w:tc>
          <w:tcPr>
            <w:tcW w:w="2700" w:type="pct"/>
            <w:gridSpan w:val="4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0BC" w:rsidRPr="00B150BC" w:rsidRDefault="00B150BC" w:rsidP="00B1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Значение показателей</w:t>
            </w:r>
          </w:p>
        </w:tc>
      </w:tr>
      <w:tr w:rsidR="00B150BC" w:rsidRPr="00B150BC" w:rsidTr="00B150BC">
        <w:trPr>
          <w:trHeight w:val="3060"/>
          <w:tblCellSpacing w:w="7" w:type="dxa"/>
          <w:jc w:val="center"/>
        </w:trPr>
        <w:tc>
          <w:tcPr>
            <w:tcW w:w="230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0BC" w:rsidRPr="00B150BC" w:rsidRDefault="00B150BC" w:rsidP="00B1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1. Предполагаемая продажная цена, долл.</w:t>
            </w:r>
            <w:r w:rsidRPr="00B1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2. Переменные издержки на одно изделие, долл.</w:t>
            </w:r>
            <w:r w:rsidRPr="00B1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3. Маржинальная прибыль на одно изделие, долл.</w:t>
            </w:r>
            <w:r w:rsidRPr="00B1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4. Объем продаж, единиц</w:t>
            </w:r>
            <w:r w:rsidRPr="00B1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br/>
              <w:t>5. Суммарная маржинальная прибыль, тыс. долл.</w:t>
            </w:r>
          </w:p>
        </w:tc>
        <w:tc>
          <w:tcPr>
            <w:tcW w:w="750" w:type="pct"/>
            <w:gridSpan w:val="2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0BC" w:rsidRPr="00B150BC" w:rsidRDefault="00B150BC" w:rsidP="00B1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0BC" w:rsidRPr="00B150BC" w:rsidRDefault="00B150BC" w:rsidP="00B1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0BC" w:rsidRPr="00B150BC" w:rsidRDefault="00B150BC" w:rsidP="00B1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  <w:tc>
          <w:tcPr>
            <w:tcW w:w="650" w:type="pct"/>
            <w:tcBorders>
              <w:top w:val="outset" w:sz="6" w:space="0" w:color="auto"/>
              <w:left w:val="outset" w:sz="6" w:space="0" w:color="auto"/>
              <w:bottom w:val="outset" w:sz="6" w:space="0" w:color="auto"/>
              <w:right w:val="outset" w:sz="6" w:space="0" w:color="auto"/>
            </w:tcBorders>
            <w:hideMark/>
          </w:tcPr>
          <w:p w:rsidR="00B150BC" w:rsidRPr="00B150BC" w:rsidRDefault="00B150BC" w:rsidP="00B150BC">
            <w:pPr>
              <w:spacing w:after="0" w:line="240" w:lineRule="auto"/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</w:pPr>
            <w:r w:rsidRPr="00B150BC">
              <w:rPr>
                <w:rFonts w:ascii="Times New Roman" w:eastAsia="Times New Roman" w:hAnsi="Times New Roman" w:cs="Times New Roman"/>
                <w:sz w:val="24"/>
                <w:szCs w:val="24"/>
                <w:lang w:eastAsia="ru-RU"/>
              </w:rPr>
              <w:t> </w:t>
            </w:r>
          </w:p>
        </w:tc>
      </w:tr>
    </w:tbl>
    <w:p w:rsidR="00B150BC" w:rsidRPr="00CD0BBA" w:rsidRDefault="00B150BC" w:rsidP="00CD0BBA">
      <w:pPr>
        <w:spacing w:before="100" w:beforeAutospacing="1" w:after="100" w:afterAutospacing="1" w:line="240" w:lineRule="auto"/>
        <w:jc w:val="both"/>
        <w:rPr>
          <w:rFonts w:ascii="Arial" w:eastAsia="Times New Roman" w:hAnsi="Arial" w:cs="Arial"/>
          <w:sz w:val="24"/>
          <w:szCs w:val="24"/>
          <w:lang w:eastAsia="ru-RU"/>
        </w:rPr>
      </w:pPr>
    </w:p>
    <w:p w:rsidR="00CD0BBA" w:rsidRDefault="00CD0BBA"/>
    <w:sectPr w:rsidR="00CD0BBA">
      <w:pgSz w:w="11906" w:h="16838"/>
      <w:pgMar w:top="1134" w:right="850" w:bottom="1134" w:left="1701" w:header="708" w:footer="708" w:gutter="0"/>
      <w:cols w:space="708"/>
      <w:docGrid w:linePitch="360"/>
    </w:sectPr>
  </w:body>
</w:document>
</file>

<file path=word/fontTable.xml><?xml version="1.0" encoding="utf-8"?>
<w:font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font w:name="Symbol">
    <w:panose1 w:val="05050102010706020507"/>
    <w:charset w:val="02"/>
    <w:family w:val="roman"/>
    <w:pitch w:val="variable"/>
    <w:sig w:usb0="00000000" w:usb1="10000000" w:usb2="00000000" w:usb3="00000000" w:csb0="80000000" w:csb1="00000000"/>
  </w:font>
  <w:font w:name="Times New Roman">
    <w:panose1 w:val="02020603050405020304"/>
    <w:charset w:val="CC"/>
    <w:family w:val="roman"/>
    <w:pitch w:val="variable"/>
    <w:sig w:usb0="20002A87" w:usb1="00000000" w:usb2="00000000" w:usb3="00000000" w:csb0="000001FF" w:csb1="00000000"/>
  </w:font>
  <w:font w:name="Courier New">
    <w:panose1 w:val="02070309020205020404"/>
    <w:charset w:val="CC"/>
    <w:family w:val="modern"/>
    <w:pitch w:val="fixed"/>
    <w:sig w:usb0="20002A87" w:usb1="80000000" w:usb2="00000008" w:usb3="00000000" w:csb0="000001FF" w:csb1="00000000"/>
  </w:font>
  <w:font w:name="Wingdings">
    <w:panose1 w:val="05000000000000000000"/>
    <w:charset w:val="02"/>
    <w:family w:val="auto"/>
    <w:pitch w:val="variable"/>
    <w:sig w:usb0="00000000" w:usb1="10000000" w:usb2="00000000" w:usb3="00000000" w:csb0="80000000" w:csb1="00000000"/>
  </w:font>
  <w:font w:name="Calibri">
    <w:panose1 w:val="020F0502020204030204"/>
    <w:charset w:val="CC"/>
    <w:family w:val="swiss"/>
    <w:pitch w:val="variable"/>
    <w:sig w:usb0="E10002FF" w:usb1="4000ACFF" w:usb2="00000009" w:usb3="00000000" w:csb0="0000019F" w:csb1="00000000"/>
  </w:font>
  <w:font w:name="Arial">
    <w:panose1 w:val="020B0604020202020204"/>
    <w:charset w:val="CC"/>
    <w:family w:val="swiss"/>
    <w:pitch w:val="variable"/>
    <w:sig w:usb0="20002A87" w:usb1="00000000" w:usb2="00000000" w:usb3="00000000" w:csb0="000001FF" w:csb1="00000000"/>
  </w:font>
  <w:font w:name="Tahoma">
    <w:panose1 w:val="020B0604030504040204"/>
    <w:charset w:val="CC"/>
    <w:family w:val="swiss"/>
    <w:pitch w:val="variable"/>
    <w:sig w:usb0="61002A87" w:usb1="80000000" w:usb2="00000008" w:usb3="00000000" w:csb0="000101FF" w:csb1="00000000"/>
  </w:font>
  <w:font w:name="Cambria">
    <w:panose1 w:val="02040503050406030204"/>
    <w:charset w:val="CC"/>
    <w:family w:val="roman"/>
    <w:pitch w:val="variable"/>
    <w:sig w:usb0="E00002FF" w:usb1="400004FF" w:usb2="00000000" w:usb3="00000000" w:csb0="0000019F" w:csb1="00000000"/>
  </w:font>
</w:fonts>
</file>

<file path=word/numbering.xml><?xml version="1.0" encoding="utf-8"?>
<w:numbering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abstractNum w:abstractNumId="0">
    <w:nsid w:val="1CA11315"/>
    <w:multiLevelType w:val="multilevel"/>
    <w:tmpl w:val="876A9176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1">
    <w:nsid w:val="1D824B7E"/>
    <w:multiLevelType w:val="multilevel"/>
    <w:tmpl w:val="B4F48FD4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abstractNum w:abstractNumId="2">
    <w:nsid w:val="41E06EC4"/>
    <w:multiLevelType w:val="multilevel"/>
    <w:tmpl w:val="54106AA4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3">
    <w:nsid w:val="506B5C45"/>
    <w:multiLevelType w:val="multilevel"/>
    <w:tmpl w:val="34F4C4F2"/>
    <w:lvl w:ilvl="0">
      <w:start w:val="1"/>
      <w:numFmt w:val="bullet"/>
      <w:lvlText w:val=""/>
      <w:lvlJc w:val="left"/>
      <w:pPr>
        <w:tabs>
          <w:tab w:val="num" w:pos="720"/>
        </w:tabs>
        <w:ind w:left="720" w:hanging="360"/>
      </w:pPr>
      <w:rPr>
        <w:rFonts w:ascii="Symbol" w:hAnsi="Symbol" w:hint="default"/>
        <w:sz w:val="20"/>
      </w:rPr>
    </w:lvl>
    <w:lvl w:ilvl="1" w:tentative="1">
      <w:start w:val="1"/>
      <w:numFmt w:val="bullet"/>
      <w:lvlText w:val="o"/>
      <w:lvlJc w:val="left"/>
      <w:pPr>
        <w:tabs>
          <w:tab w:val="num" w:pos="1440"/>
        </w:tabs>
        <w:ind w:left="1440" w:hanging="360"/>
      </w:pPr>
      <w:rPr>
        <w:rFonts w:ascii="Courier New" w:hAnsi="Courier New" w:hint="default"/>
        <w:sz w:val="20"/>
      </w:rPr>
    </w:lvl>
    <w:lvl w:ilvl="2" w:tentative="1">
      <w:start w:val="1"/>
      <w:numFmt w:val="bullet"/>
      <w:lvlText w:val=""/>
      <w:lvlJc w:val="left"/>
      <w:pPr>
        <w:tabs>
          <w:tab w:val="num" w:pos="2160"/>
        </w:tabs>
        <w:ind w:left="2160" w:hanging="360"/>
      </w:pPr>
      <w:rPr>
        <w:rFonts w:ascii="Wingdings" w:hAnsi="Wingdings" w:hint="default"/>
        <w:sz w:val="20"/>
      </w:rPr>
    </w:lvl>
    <w:lvl w:ilvl="3" w:tentative="1">
      <w:start w:val="1"/>
      <w:numFmt w:val="bullet"/>
      <w:lvlText w:val=""/>
      <w:lvlJc w:val="left"/>
      <w:pPr>
        <w:tabs>
          <w:tab w:val="num" w:pos="2880"/>
        </w:tabs>
        <w:ind w:left="2880" w:hanging="360"/>
      </w:pPr>
      <w:rPr>
        <w:rFonts w:ascii="Wingdings" w:hAnsi="Wingdings" w:hint="default"/>
        <w:sz w:val="20"/>
      </w:rPr>
    </w:lvl>
    <w:lvl w:ilvl="4" w:tentative="1">
      <w:start w:val="1"/>
      <w:numFmt w:val="bullet"/>
      <w:lvlText w:val=""/>
      <w:lvlJc w:val="left"/>
      <w:pPr>
        <w:tabs>
          <w:tab w:val="num" w:pos="3600"/>
        </w:tabs>
        <w:ind w:left="3600" w:hanging="360"/>
      </w:pPr>
      <w:rPr>
        <w:rFonts w:ascii="Wingdings" w:hAnsi="Wingdings" w:hint="default"/>
        <w:sz w:val="20"/>
      </w:rPr>
    </w:lvl>
    <w:lvl w:ilvl="5" w:tentative="1">
      <w:start w:val="1"/>
      <w:numFmt w:val="bullet"/>
      <w:lvlText w:val=""/>
      <w:lvlJc w:val="left"/>
      <w:pPr>
        <w:tabs>
          <w:tab w:val="num" w:pos="4320"/>
        </w:tabs>
        <w:ind w:left="4320" w:hanging="360"/>
      </w:pPr>
      <w:rPr>
        <w:rFonts w:ascii="Wingdings" w:hAnsi="Wingdings" w:hint="default"/>
        <w:sz w:val="20"/>
      </w:rPr>
    </w:lvl>
    <w:lvl w:ilvl="6" w:tentative="1">
      <w:start w:val="1"/>
      <w:numFmt w:val="bullet"/>
      <w:lvlText w:val=""/>
      <w:lvlJc w:val="left"/>
      <w:pPr>
        <w:tabs>
          <w:tab w:val="num" w:pos="5040"/>
        </w:tabs>
        <w:ind w:left="5040" w:hanging="360"/>
      </w:pPr>
      <w:rPr>
        <w:rFonts w:ascii="Wingdings" w:hAnsi="Wingdings" w:hint="default"/>
        <w:sz w:val="20"/>
      </w:rPr>
    </w:lvl>
    <w:lvl w:ilvl="7" w:tentative="1">
      <w:start w:val="1"/>
      <w:numFmt w:val="bullet"/>
      <w:lvlText w:val=""/>
      <w:lvlJc w:val="left"/>
      <w:pPr>
        <w:tabs>
          <w:tab w:val="num" w:pos="5760"/>
        </w:tabs>
        <w:ind w:left="5760" w:hanging="360"/>
      </w:pPr>
      <w:rPr>
        <w:rFonts w:ascii="Wingdings" w:hAnsi="Wingdings" w:hint="default"/>
        <w:sz w:val="20"/>
      </w:rPr>
    </w:lvl>
    <w:lvl w:ilvl="8" w:tentative="1">
      <w:start w:val="1"/>
      <w:numFmt w:val="bullet"/>
      <w:lvlText w:val=""/>
      <w:lvlJc w:val="left"/>
      <w:pPr>
        <w:tabs>
          <w:tab w:val="num" w:pos="6480"/>
        </w:tabs>
        <w:ind w:left="6480" w:hanging="360"/>
      </w:pPr>
      <w:rPr>
        <w:rFonts w:ascii="Wingdings" w:hAnsi="Wingdings" w:hint="default"/>
        <w:sz w:val="20"/>
      </w:rPr>
    </w:lvl>
  </w:abstractNum>
  <w:abstractNum w:abstractNumId="4">
    <w:nsid w:val="514C163F"/>
    <w:multiLevelType w:val="multilevel"/>
    <w:tmpl w:val="222A30EE"/>
    <w:lvl w:ilvl="0">
      <w:start w:val="1"/>
      <w:numFmt w:val="decimal"/>
      <w:lvlText w:val="%1."/>
      <w:lvlJc w:val="left"/>
      <w:pPr>
        <w:tabs>
          <w:tab w:val="num" w:pos="720"/>
        </w:tabs>
        <w:ind w:left="720" w:hanging="360"/>
      </w:pPr>
    </w:lvl>
    <w:lvl w:ilvl="1" w:tentative="1">
      <w:start w:val="1"/>
      <w:numFmt w:val="decimal"/>
      <w:lvlText w:val="%2."/>
      <w:lvlJc w:val="left"/>
      <w:pPr>
        <w:tabs>
          <w:tab w:val="num" w:pos="1440"/>
        </w:tabs>
        <w:ind w:left="1440" w:hanging="360"/>
      </w:pPr>
    </w:lvl>
    <w:lvl w:ilvl="2" w:tentative="1">
      <w:start w:val="1"/>
      <w:numFmt w:val="decimal"/>
      <w:lvlText w:val="%3."/>
      <w:lvlJc w:val="left"/>
      <w:pPr>
        <w:tabs>
          <w:tab w:val="num" w:pos="2160"/>
        </w:tabs>
        <w:ind w:left="2160" w:hanging="360"/>
      </w:pPr>
    </w:lvl>
    <w:lvl w:ilvl="3" w:tentative="1">
      <w:start w:val="1"/>
      <w:numFmt w:val="decimal"/>
      <w:lvlText w:val="%4."/>
      <w:lvlJc w:val="left"/>
      <w:pPr>
        <w:tabs>
          <w:tab w:val="num" w:pos="2880"/>
        </w:tabs>
        <w:ind w:left="2880" w:hanging="360"/>
      </w:pPr>
    </w:lvl>
    <w:lvl w:ilvl="4" w:tentative="1">
      <w:start w:val="1"/>
      <w:numFmt w:val="decimal"/>
      <w:lvlText w:val="%5."/>
      <w:lvlJc w:val="left"/>
      <w:pPr>
        <w:tabs>
          <w:tab w:val="num" w:pos="3600"/>
        </w:tabs>
        <w:ind w:left="3600" w:hanging="360"/>
      </w:pPr>
    </w:lvl>
    <w:lvl w:ilvl="5" w:tentative="1">
      <w:start w:val="1"/>
      <w:numFmt w:val="decimal"/>
      <w:lvlText w:val="%6."/>
      <w:lvlJc w:val="left"/>
      <w:pPr>
        <w:tabs>
          <w:tab w:val="num" w:pos="4320"/>
        </w:tabs>
        <w:ind w:left="4320" w:hanging="360"/>
      </w:pPr>
    </w:lvl>
    <w:lvl w:ilvl="6" w:tentative="1">
      <w:start w:val="1"/>
      <w:numFmt w:val="decimal"/>
      <w:lvlText w:val="%7."/>
      <w:lvlJc w:val="left"/>
      <w:pPr>
        <w:tabs>
          <w:tab w:val="num" w:pos="5040"/>
        </w:tabs>
        <w:ind w:left="5040" w:hanging="360"/>
      </w:pPr>
    </w:lvl>
    <w:lvl w:ilvl="7" w:tentative="1">
      <w:start w:val="1"/>
      <w:numFmt w:val="decimal"/>
      <w:lvlText w:val="%8."/>
      <w:lvlJc w:val="left"/>
      <w:pPr>
        <w:tabs>
          <w:tab w:val="num" w:pos="5760"/>
        </w:tabs>
        <w:ind w:left="5760" w:hanging="360"/>
      </w:pPr>
    </w:lvl>
    <w:lvl w:ilvl="8" w:tentative="1">
      <w:start w:val="1"/>
      <w:numFmt w:val="decimal"/>
      <w:lvlText w:val="%9."/>
      <w:lvlJc w:val="left"/>
      <w:pPr>
        <w:tabs>
          <w:tab w:val="num" w:pos="6480"/>
        </w:tabs>
        <w:ind w:left="6480" w:hanging="360"/>
      </w:pPr>
    </w:lvl>
  </w:abstractNum>
  <w:num w:numId="1">
    <w:abstractNumId w:val="0"/>
  </w:num>
  <w:num w:numId="2">
    <w:abstractNumId w:val="4"/>
  </w:num>
  <w:num w:numId="3">
    <w:abstractNumId w:val="1"/>
  </w:num>
  <w:num w:numId="4">
    <w:abstractNumId w:val="2"/>
  </w:num>
  <w:num w:numId="5">
    <w:abstractNumId w:val="3"/>
  </w:num>
</w:numbering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10="urn:schemas-microsoft-com:office:word" xmlns:w="http://schemas.openxmlformats.org/wordprocessingml/2006/main" xmlns:w14="http://schemas.microsoft.com/office/word/2010/wordml" xmlns:sl="http://schemas.openxmlformats.org/schemaLibrary/2006/main" mc:Ignorable="w14">
  <w:zoom w:percent="120"/>
  <w:proofState w:spelling="clean" w:grammar="clean"/>
  <w:defaultTabStop w:val="708"/>
  <w:characterSpacingControl w:val="doNotCompress"/>
  <w:compat>
    <w:compatSetting w:name="compatibilityMode" w:uri="http://schemas.microsoft.com/office/word" w:val="14"/>
    <w:compatSetting w:name="overrideTableStyleFontSizeAndJustification" w:uri="http://schemas.microsoft.com/office/word" w:val="1"/>
    <w:compatSetting w:name="enableOpenTypeFeatures" w:uri="http://schemas.microsoft.com/office/word" w:val="1"/>
    <w:compatSetting w:name="doNotFlipMirrorIndents" w:uri="http://schemas.microsoft.com/office/word" w:val="1"/>
  </w:compat>
  <w:rsids>
    <w:rsidRoot w:val="00CD0BBA"/>
    <w:rsid w:val="00B150BC"/>
    <w:rsid w:val="00BA3FBB"/>
    <w:rsid w:val="00CD0BBA"/>
  </w:rsids>
  <m:mathPr>
    <m:mathFont m:val="Cambria Math"/>
    <m:brkBin m:val="before"/>
    <m:brkBinSub m:val="--"/>
    <m:smallFrac m:val="0"/>
    <m:dispDef/>
    <m:lMargin m:val="0"/>
    <m:rMargin m:val="0"/>
    <m:defJc m:val="centerGroup"/>
    <m:wrapIndent m:val="1440"/>
    <m:intLim m:val="subSup"/>
    <m:naryLim m:val="undOvr"/>
  </m:mathPr>
  <w:themeFontLang w:val="ru-RU"/>
  <w:clrSchemeMapping w:bg1="light1" w:t1="dark1" w:bg2="light2" w:t2="dark2" w:accent1="accent1" w:accent2="accent2" w:accent3="accent3" w:accent4="accent4" w:accent5="accent5" w:accent6="accent6" w:hyperlink="hyperlink" w:followedHyperlink="followedHyperlink"/>
  <w:shapeDefaults>
    <o:shapedefaults v:ext="edit" spidmax="1026"/>
    <o:shapelayout v:ext="edit">
      <o:idmap v:ext="edit" data="1"/>
    </o:shapelayout>
  </w:shapeDefaults>
  <w:decimalSymbol w:val=","/>
  <w:listSeparator w:val=";"/>
</w:settings>
</file>

<file path=word/styles.xml><?xml version="1.0" encoding="utf-8"?>
<w:style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BB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B150B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50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0BC"/>
    <w:rPr>
      <w:rFonts w:ascii="Tahoma" w:hAnsi="Tahoma" w:cs="Tahoma"/>
      <w:sz w:val="16"/>
      <w:szCs w:val="16"/>
    </w:rPr>
  </w:style>
</w:styles>
</file>

<file path=word/stylesWithEffects.xml><?xml version="1.0" encoding="utf-8"?>
<w:styles xmlns:wpc="http://schemas.microsoft.com/office/word/2010/wordprocessingCanvas"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14="http://schemas.microsoft.com/office/word/2010/wordprocessingDrawing" xmlns:wp="http://schemas.openxmlformats.org/drawingml/2006/wordprocessingDrawing" xmlns:w10="urn:schemas-microsoft-com:office:word" xmlns:w="http://schemas.openxmlformats.org/wordprocessingml/2006/main" xmlns:w14="http://schemas.microsoft.com/office/word/2010/wordml" xmlns:wpg="http://schemas.microsoft.com/office/word/2010/wordprocessingGroup" xmlns:wpi="http://schemas.microsoft.com/office/word/2010/wordprocessingInk" xmlns:wne="http://schemas.microsoft.com/office/word/2006/wordml" xmlns:wps="http://schemas.microsoft.com/office/word/2010/wordprocessingShape" mc:Ignorable="w14 wp14">
  <w:docDefaults>
    <w:rPrDefault>
      <w:rPr>
        <w:rFonts w:asciiTheme="minorHAnsi" w:eastAsiaTheme="minorHAnsi" w:hAnsiTheme="minorHAnsi" w:cstheme="minorBidi"/>
        <w:sz w:val="22"/>
        <w:szCs w:val="22"/>
        <w:lang w:val="ru-RU" w:eastAsia="en-US" w:bidi="ar-SA"/>
      </w:rPr>
    </w:rPrDefault>
    <w:pPrDefault>
      <w:pPr>
        <w:spacing w:after="200" w:line="276" w:lineRule="auto"/>
      </w:pPr>
    </w:pPrDefault>
  </w:docDefaults>
  <w:latentStyles w:defLockedState="0" w:defUIPriority="99" w:defSemiHidden="1" w:defUnhideWhenUsed="1" w:defQFormat="0" w:count="267">
    <w:lsdException w:name="Normal" w:semiHidden="0" w:uiPriority="0" w:unhideWhenUsed="0" w:qFormat="1"/>
    <w:lsdException w:name="heading 1" w:semiHidden="0" w:uiPriority="9" w:unhideWhenUsed="0" w:qFormat="1"/>
    <w:lsdException w:name="heading 2" w:uiPriority="9" w:qFormat="1"/>
    <w:lsdException w:name="heading 3" w:uiPriority="9" w:qFormat="1"/>
    <w:lsdException w:name="heading 4" w:uiPriority="9" w:qFormat="1"/>
    <w:lsdException w:name="heading 5" w:uiPriority="9" w:qFormat="1"/>
    <w:lsdException w:name="heading 6" w:uiPriority="9" w:qFormat="1"/>
    <w:lsdException w:name="heading 7" w:uiPriority="9" w:qFormat="1"/>
    <w:lsdException w:name="heading 8" w:uiPriority="9" w:qFormat="1"/>
    <w:lsdException w:name="heading 9" w:uiPriority="9" w:qFormat="1"/>
    <w:lsdException w:name="toc 1" w:uiPriority="39"/>
    <w:lsdException w:name="toc 2" w:uiPriority="39"/>
    <w:lsdException w:name="toc 3" w:uiPriority="39"/>
    <w:lsdException w:name="toc 4" w:uiPriority="39"/>
    <w:lsdException w:name="toc 5" w:uiPriority="39"/>
    <w:lsdException w:name="toc 6" w:uiPriority="39"/>
    <w:lsdException w:name="toc 7" w:uiPriority="39"/>
    <w:lsdException w:name="toc 8" w:uiPriority="39"/>
    <w:lsdException w:name="toc 9" w:uiPriority="39"/>
    <w:lsdException w:name="caption" w:uiPriority="35" w:qFormat="1"/>
    <w:lsdException w:name="Title" w:semiHidden="0" w:uiPriority="10" w:unhideWhenUsed="0" w:qFormat="1"/>
    <w:lsdException w:name="Default Paragraph Font" w:uiPriority="1"/>
    <w:lsdException w:name="Subtitle" w:semiHidden="0" w:uiPriority="11" w:unhideWhenUsed="0" w:qFormat="1"/>
    <w:lsdException w:name="Strong" w:semiHidden="0" w:uiPriority="22" w:unhideWhenUsed="0" w:qFormat="1"/>
    <w:lsdException w:name="Emphasis" w:semiHidden="0" w:uiPriority="20" w:unhideWhenUsed="0" w:qFormat="1"/>
    <w:lsdException w:name="Table Grid" w:semiHidden="0" w:uiPriority="59" w:unhideWhenUsed="0"/>
    <w:lsdException w:name="Placeholder Text" w:unhideWhenUsed="0"/>
    <w:lsdException w:name="No Spacing" w:semiHidden="0" w:uiPriority="1" w:unhideWhenUsed="0" w:qFormat="1"/>
    <w:lsdException w:name="Light Shading" w:semiHidden="0" w:uiPriority="60" w:unhideWhenUsed="0"/>
    <w:lsdException w:name="Light List" w:semiHidden="0" w:uiPriority="61" w:unhideWhenUsed="0"/>
    <w:lsdException w:name="Light Grid" w:semiHidden="0" w:uiPriority="62" w:unhideWhenUsed="0"/>
    <w:lsdException w:name="Medium Shading 1" w:semiHidden="0" w:uiPriority="63" w:unhideWhenUsed="0"/>
    <w:lsdException w:name="Medium Shading 2" w:semiHidden="0" w:uiPriority="64" w:unhideWhenUsed="0"/>
    <w:lsdException w:name="Medium List 1" w:semiHidden="0" w:uiPriority="65" w:unhideWhenUsed="0"/>
    <w:lsdException w:name="Medium List 2" w:semiHidden="0" w:uiPriority="66" w:unhideWhenUsed="0"/>
    <w:lsdException w:name="Medium Grid 1" w:semiHidden="0" w:uiPriority="67" w:unhideWhenUsed="0"/>
    <w:lsdException w:name="Medium Grid 2" w:semiHidden="0" w:uiPriority="68" w:unhideWhenUsed="0"/>
    <w:lsdException w:name="Medium Grid 3" w:semiHidden="0" w:uiPriority="69" w:unhideWhenUsed="0"/>
    <w:lsdException w:name="Dark List" w:semiHidden="0" w:uiPriority="70" w:unhideWhenUsed="0"/>
    <w:lsdException w:name="Colorful Shading" w:semiHidden="0" w:uiPriority="71" w:unhideWhenUsed="0"/>
    <w:lsdException w:name="Colorful List" w:semiHidden="0" w:uiPriority="72" w:unhideWhenUsed="0"/>
    <w:lsdException w:name="Colorful Grid" w:semiHidden="0" w:uiPriority="73" w:unhideWhenUsed="0"/>
    <w:lsdException w:name="Light Shading Accent 1" w:semiHidden="0" w:uiPriority="60" w:unhideWhenUsed="0"/>
    <w:lsdException w:name="Light List Accent 1" w:semiHidden="0" w:uiPriority="61" w:unhideWhenUsed="0"/>
    <w:lsdException w:name="Light Grid Accent 1" w:semiHidden="0" w:uiPriority="62" w:unhideWhenUsed="0"/>
    <w:lsdException w:name="Medium Shading 1 Accent 1" w:semiHidden="0" w:uiPriority="63" w:unhideWhenUsed="0"/>
    <w:lsdException w:name="Medium Shading 2 Accent 1" w:semiHidden="0" w:uiPriority="64" w:unhideWhenUsed="0"/>
    <w:lsdException w:name="Medium List 1 Accent 1" w:semiHidden="0" w:uiPriority="65" w:unhideWhenUsed="0"/>
    <w:lsdException w:name="Revision" w:unhideWhenUsed="0"/>
    <w:lsdException w:name="List Paragraph" w:semiHidden="0" w:uiPriority="34" w:unhideWhenUsed="0" w:qFormat="1"/>
    <w:lsdException w:name="Quote" w:semiHidden="0" w:uiPriority="29" w:unhideWhenUsed="0" w:qFormat="1"/>
    <w:lsdException w:name="Intense Quote" w:semiHidden="0" w:uiPriority="30" w:unhideWhenUsed="0" w:qFormat="1"/>
    <w:lsdException w:name="Medium List 2 Accent 1" w:semiHidden="0" w:uiPriority="66" w:unhideWhenUsed="0"/>
    <w:lsdException w:name="Medium Grid 1 Accent 1" w:semiHidden="0" w:uiPriority="67" w:unhideWhenUsed="0"/>
    <w:lsdException w:name="Medium Grid 2 Accent 1" w:semiHidden="0" w:uiPriority="68" w:unhideWhenUsed="0"/>
    <w:lsdException w:name="Medium Grid 3 Accent 1" w:semiHidden="0" w:uiPriority="69" w:unhideWhenUsed="0"/>
    <w:lsdException w:name="Dark List Accent 1" w:semiHidden="0" w:uiPriority="70" w:unhideWhenUsed="0"/>
    <w:lsdException w:name="Colorful Shading Accent 1" w:semiHidden="0" w:uiPriority="71" w:unhideWhenUsed="0"/>
    <w:lsdException w:name="Colorful List Accent 1" w:semiHidden="0" w:uiPriority="72" w:unhideWhenUsed="0"/>
    <w:lsdException w:name="Colorful Grid Accent 1" w:semiHidden="0" w:uiPriority="73" w:unhideWhenUsed="0"/>
    <w:lsdException w:name="Light Shading Accent 2" w:semiHidden="0" w:uiPriority="60" w:unhideWhenUsed="0"/>
    <w:lsdException w:name="Light List Accent 2" w:semiHidden="0" w:uiPriority="61" w:unhideWhenUsed="0"/>
    <w:lsdException w:name="Light Grid Accent 2" w:semiHidden="0" w:uiPriority="62" w:unhideWhenUsed="0"/>
    <w:lsdException w:name="Medium Shading 1 Accent 2" w:semiHidden="0" w:uiPriority="63" w:unhideWhenUsed="0"/>
    <w:lsdException w:name="Medium Shading 2 Accent 2" w:semiHidden="0" w:uiPriority="64" w:unhideWhenUsed="0"/>
    <w:lsdException w:name="Medium List 1 Accent 2" w:semiHidden="0" w:uiPriority="65" w:unhideWhenUsed="0"/>
    <w:lsdException w:name="Medium List 2 Accent 2" w:semiHidden="0" w:uiPriority="66" w:unhideWhenUsed="0"/>
    <w:lsdException w:name="Medium Grid 1 Accent 2" w:semiHidden="0" w:uiPriority="67" w:unhideWhenUsed="0"/>
    <w:lsdException w:name="Medium Grid 2 Accent 2" w:semiHidden="0" w:uiPriority="68" w:unhideWhenUsed="0"/>
    <w:lsdException w:name="Medium Grid 3 Accent 2" w:semiHidden="0" w:uiPriority="69" w:unhideWhenUsed="0"/>
    <w:lsdException w:name="Dark List Accent 2" w:semiHidden="0" w:uiPriority="70" w:unhideWhenUsed="0"/>
    <w:lsdException w:name="Colorful Shading Accent 2" w:semiHidden="0" w:uiPriority="71" w:unhideWhenUsed="0"/>
    <w:lsdException w:name="Colorful List Accent 2" w:semiHidden="0" w:uiPriority="72" w:unhideWhenUsed="0"/>
    <w:lsdException w:name="Colorful Grid Accent 2" w:semiHidden="0" w:uiPriority="73" w:unhideWhenUsed="0"/>
    <w:lsdException w:name="Light Shading Accent 3" w:semiHidden="0" w:uiPriority="60" w:unhideWhenUsed="0"/>
    <w:lsdException w:name="Light List Accent 3" w:semiHidden="0" w:uiPriority="61" w:unhideWhenUsed="0"/>
    <w:lsdException w:name="Light Grid Accent 3" w:semiHidden="0" w:uiPriority="62" w:unhideWhenUsed="0"/>
    <w:lsdException w:name="Medium Shading 1 Accent 3" w:semiHidden="0" w:uiPriority="63" w:unhideWhenUsed="0"/>
    <w:lsdException w:name="Medium Shading 2 Accent 3" w:semiHidden="0" w:uiPriority="64" w:unhideWhenUsed="0"/>
    <w:lsdException w:name="Medium List 1 Accent 3" w:semiHidden="0" w:uiPriority="65" w:unhideWhenUsed="0"/>
    <w:lsdException w:name="Medium List 2 Accent 3" w:semiHidden="0" w:uiPriority="66" w:unhideWhenUsed="0"/>
    <w:lsdException w:name="Medium Grid 1 Accent 3" w:semiHidden="0" w:uiPriority="67" w:unhideWhenUsed="0"/>
    <w:lsdException w:name="Medium Grid 2 Accent 3" w:semiHidden="0" w:uiPriority="68" w:unhideWhenUsed="0"/>
    <w:lsdException w:name="Medium Grid 3 Accent 3" w:semiHidden="0" w:uiPriority="69" w:unhideWhenUsed="0"/>
    <w:lsdException w:name="Dark List Accent 3" w:semiHidden="0" w:uiPriority="70" w:unhideWhenUsed="0"/>
    <w:lsdException w:name="Colorful Shading Accent 3" w:semiHidden="0" w:uiPriority="71" w:unhideWhenUsed="0"/>
    <w:lsdException w:name="Colorful List Accent 3" w:semiHidden="0" w:uiPriority="72" w:unhideWhenUsed="0"/>
    <w:lsdException w:name="Colorful Grid Accent 3" w:semiHidden="0" w:uiPriority="73" w:unhideWhenUsed="0"/>
    <w:lsdException w:name="Light Shading Accent 4" w:semiHidden="0" w:uiPriority="60" w:unhideWhenUsed="0"/>
    <w:lsdException w:name="Light List Accent 4" w:semiHidden="0" w:uiPriority="61" w:unhideWhenUsed="0"/>
    <w:lsdException w:name="Light Grid Accent 4" w:semiHidden="0" w:uiPriority="62" w:unhideWhenUsed="0"/>
    <w:lsdException w:name="Medium Shading 1 Accent 4" w:semiHidden="0" w:uiPriority="63" w:unhideWhenUsed="0"/>
    <w:lsdException w:name="Medium Shading 2 Accent 4" w:semiHidden="0" w:uiPriority="64" w:unhideWhenUsed="0"/>
    <w:lsdException w:name="Medium List 1 Accent 4" w:semiHidden="0" w:uiPriority="65" w:unhideWhenUsed="0"/>
    <w:lsdException w:name="Medium List 2 Accent 4" w:semiHidden="0" w:uiPriority="66" w:unhideWhenUsed="0"/>
    <w:lsdException w:name="Medium Grid 1 Accent 4" w:semiHidden="0" w:uiPriority="67" w:unhideWhenUsed="0"/>
    <w:lsdException w:name="Medium Grid 2 Accent 4" w:semiHidden="0" w:uiPriority="68" w:unhideWhenUsed="0"/>
    <w:lsdException w:name="Medium Grid 3 Accent 4" w:semiHidden="0" w:uiPriority="69" w:unhideWhenUsed="0"/>
    <w:lsdException w:name="Dark List Accent 4" w:semiHidden="0" w:uiPriority="70" w:unhideWhenUsed="0"/>
    <w:lsdException w:name="Colorful Shading Accent 4" w:semiHidden="0" w:uiPriority="71" w:unhideWhenUsed="0"/>
    <w:lsdException w:name="Colorful List Accent 4" w:semiHidden="0" w:uiPriority="72" w:unhideWhenUsed="0"/>
    <w:lsdException w:name="Colorful Grid Accent 4" w:semiHidden="0" w:uiPriority="73" w:unhideWhenUsed="0"/>
    <w:lsdException w:name="Light Shading Accent 5" w:semiHidden="0" w:uiPriority="60" w:unhideWhenUsed="0"/>
    <w:lsdException w:name="Light List Accent 5" w:semiHidden="0" w:uiPriority="61" w:unhideWhenUsed="0"/>
    <w:lsdException w:name="Light Grid Accent 5" w:semiHidden="0" w:uiPriority="62" w:unhideWhenUsed="0"/>
    <w:lsdException w:name="Medium Shading 1 Accent 5" w:semiHidden="0" w:uiPriority="63" w:unhideWhenUsed="0"/>
    <w:lsdException w:name="Medium Shading 2 Accent 5" w:semiHidden="0" w:uiPriority="64" w:unhideWhenUsed="0"/>
    <w:lsdException w:name="Medium List 1 Accent 5" w:semiHidden="0" w:uiPriority="65" w:unhideWhenUsed="0"/>
    <w:lsdException w:name="Medium List 2 Accent 5" w:semiHidden="0" w:uiPriority="66" w:unhideWhenUsed="0"/>
    <w:lsdException w:name="Medium Grid 1 Accent 5" w:semiHidden="0" w:uiPriority="67" w:unhideWhenUsed="0"/>
    <w:lsdException w:name="Medium Grid 2 Accent 5" w:semiHidden="0" w:uiPriority="68" w:unhideWhenUsed="0"/>
    <w:lsdException w:name="Medium Grid 3 Accent 5" w:semiHidden="0" w:uiPriority="69" w:unhideWhenUsed="0"/>
    <w:lsdException w:name="Dark List Accent 5" w:semiHidden="0" w:uiPriority="70" w:unhideWhenUsed="0"/>
    <w:lsdException w:name="Colorful Shading Accent 5" w:semiHidden="0" w:uiPriority="71" w:unhideWhenUsed="0"/>
    <w:lsdException w:name="Colorful List Accent 5" w:semiHidden="0" w:uiPriority="72" w:unhideWhenUsed="0"/>
    <w:lsdException w:name="Colorful Grid Accent 5" w:semiHidden="0" w:uiPriority="73" w:unhideWhenUsed="0"/>
    <w:lsdException w:name="Light Shading Accent 6" w:semiHidden="0" w:uiPriority="60" w:unhideWhenUsed="0"/>
    <w:lsdException w:name="Light List Accent 6" w:semiHidden="0" w:uiPriority="61" w:unhideWhenUsed="0"/>
    <w:lsdException w:name="Light Grid Accent 6" w:semiHidden="0" w:uiPriority="62" w:unhideWhenUsed="0"/>
    <w:lsdException w:name="Medium Shading 1 Accent 6" w:semiHidden="0" w:uiPriority="63" w:unhideWhenUsed="0"/>
    <w:lsdException w:name="Medium Shading 2 Accent 6" w:semiHidden="0" w:uiPriority="64" w:unhideWhenUsed="0"/>
    <w:lsdException w:name="Medium List 1 Accent 6" w:semiHidden="0" w:uiPriority="65" w:unhideWhenUsed="0"/>
    <w:lsdException w:name="Medium List 2 Accent 6" w:semiHidden="0" w:uiPriority="66" w:unhideWhenUsed="0"/>
    <w:lsdException w:name="Medium Grid 1 Accent 6" w:semiHidden="0" w:uiPriority="67" w:unhideWhenUsed="0"/>
    <w:lsdException w:name="Medium Grid 2 Accent 6" w:semiHidden="0" w:uiPriority="68" w:unhideWhenUsed="0"/>
    <w:lsdException w:name="Medium Grid 3 Accent 6" w:semiHidden="0" w:uiPriority="69" w:unhideWhenUsed="0"/>
    <w:lsdException w:name="Dark List Accent 6" w:semiHidden="0" w:uiPriority="70" w:unhideWhenUsed="0"/>
    <w:lsdException w:name="Colorful Shading Accent 6" w:semiHidden="0" w:uiPriority="71" w:unhideWhenUsed="0"/>
    <w:lsdException w:name="Colorful List Accent 6" w:semiHidden="0" w:uiPriority="72" w:unhideWhenUsed="0"/>
    <w:lsdException w:name="Colorful Grid Accent 6" w:semiHidden="0" w:uiPriority="73" w:unhideWhenUsed="0"/>
    <w:lsdException w:name="Subtle Emphasis" w:semiHidden="0" w:uiPriority="19" w:unhideWhenUsed="0" w:qFormat="1"/>
    <w:lsdException w:name="Intense Emphasis" w:semiHidden="0" w:uiPriority="21" w:unhideWhenUsed="0" w:qFormat="1"/>
    <w:lsdException w:name="Subtle Reference" w:semiHidden="0" w:uiPriority="31" w:unhideWhenUsed="0" w:qFormat="1"/>
    <w:lsdException w:name="Intense Reference" w:semiHidden="0" w:uiPriority="32" w:unhideWhenUsed="0" w:qFormat="1"/>
    <w:lsdException w:name="Book Title" w:semiHidden="0" w:uiPriority="33" w:unhideWhenUsed="0" w:qFormat="1"/>
    <w:lsdException w:name="Bibliography" w:uiPriority="37"/>
    <w:lsdException w:name="TOC Heading" w:uiPriority="39" w:qFormat="1"/>
  </w:latentStyles>
  <w:style w:type="paragraph" w:default="1" w:styleId="a">
    <w:name w:val="Normal"/>
    <w:qFormat/>
  </w:style>
  <w:style w:type="character" w:default="1" w:styleId="a0">
    <w:name w:val="Default Paragraph Font"/>
    <w:uiPriority w:val="1"/>
    <w:semiHidden/>
    <w:unhideWhenUsed/>
  </w:style>
  <w:style w:type="table" w:default="1" w:styleId="a1">
    <w:name w:val="Normal Table"/>
    <w:uiPriority w:val="99"/>
    <w:semiHidden/>
    <w:unhideWhenUsed/>
    <w:tblPr>
      <w:tblInd w:w="0" w:type="dxa"/>
      <w:tblCellMar>
        <w:top w:w="0" w:type="dxa"/>
        <w:left w:w="108" w:type="dxa"/>
        <w:bottom w:w="0" w:type="dxa"/>
        <w:right w:w="108" w:type="dxa"/>
      </w:tblCellMar>
    </w:tblPr>
  </w:style>
  <w:style w:type="numbering" w:default="1" w:styleId="a2">
    <w:name w:val="No List"/>
    <w:uiPriority w:val="99"/>
    <w:semiHidden/>
    <w:unhideWhenUsed/>
  </w:style>
  <w:style w:type="paragraph" w:styleId="a3">
    <w:name w:val="Normal (Web)"/>
    <w:basedOn w:val="a"/>
    <w:uiPriority w:val="99"/>
    <w:semiHidden/>
    <w:unhideWhenUsed/>
    <w:rsid w:val="00CD0BBA"/>
    <w:pPr>
      <w:spacing w:before="100" w:beforeAutospacing="1" w:after="100" w:afterAutospacing="1" w:line="240" w:lineRule="auto"/>
      <w:jc w:val="both"/>
    </w:pPr>
    <w:rPr>
      <w:rFonts w:ascii="Times New Roman" w:eastAsia="Times New Roman" w:hAnsi="Times New Roman" w:cs="Times New Roman"/>
      <w:sz w:val="24"/>
      <w:szCs w:val="24"/>
      <w:lang w:eastAsia="ru-RU"/>
    </w:rPr>
  </w:style>
  <w:style w:type="paragraph" w:customStyle="1" w:styleId="center">
    <w:name w:val="center"/>
    <w:basedOn w:val="a"/>
    <w:rsid w:val="00B150BC"/>
    <w:pPr>
      <w:spacing w:before="100" w:beforeAutospacing="1" w:after="100" w:afterAutospacing="1" w:line="240" w:lineRule="auto"/>
      <w:jc w:val="center"/>
    </w:pPr>
    <w:rPr>
      <w:rFonts w:ascii="Arial" w:eastAsia="Times New Roman" w:hAnsi="Arial" w:cs="Arial"/>
      <w:sz w:val="24"/>
      <w:szCs w:val="24"/>
      <w:lang w:eastAsia="ru-RU"/>
    </w:rPr>
  </w:style>
  <w:style w:type="character" w:styleId="a4">
    <w:name w:val="Hyperlink"/>
    <w:basedOn w:val="a0"/>
    <w:uiPriority w:val="99"/>
    <w:semiHidden/>
    <w:unhideWhenUsed/>
    <w:rsid w:val="00B150BC"/>
    <w:rPr>
      <w:color w:val="0000FF"/>
      <w:u w:val="single"/>
    </w:rPr>
  </w:style>
  <w:style w:type="paragraph" w:styleId="a5">
    <w:name w:val="Balloon Text"/>
    <w:basedOn w:val="a"/>
    <w:link w:val="a6"/>
    <w:uiPriority w:val="99"/>
    <w:semiHidden/>
    <w:unhideWhenUsed/>
    <w:rsid w:val="00B150BC"/>
    <w:pPr>
      <w:spacing w:after="0" w:line="240" w:lineRule="auto"/>
    </w:pPr>
    <w:rPr>
      <w:rFonts w:ascii="Tahoma" w:hAnsi="Tahoma" w:cs="Tahoma"/>
      <w:sz w:val="16"/>
      <w:szCs w:val="16"/>
    </w:rPr>
  </w:style>
  <w:style w:type="character" w:customStyle="1" w:styleId="a6">
    <w:name w:val="Текст выноски Знак"/>
    <w:basedOn w:val="a0"/>
    <w:link w:val="a5"/>
    <w:uiPriority w:val="99"/>
    <w:semiHidden/>
    <w:rsid w:val="00B150BC"/>
    <w:rPr>
      <w:rFonts w:ascii="Tahoma" w:hAnsi="Tahoma" w:cs="Tahoma"/>
      <w:sz w:val="16"/>
      <w:szCs w:val="16"/>
    </w:rPr>
  </w:style>
</w:styles>
</file>

<file path=word/webSettings.xml><?xml version="1.0" encoding="utf-8"?>
<w:webSettings xmlns:mc="http://schemas.openxmlformats.org/markup-compatibility/2006" xmlns:r="http://schemas.openxmlformats.org/officeDocument/2006/relationships" xmlns:w="http://schemas.openxmlformats.org/wordprocessingml/2006/main" xmlns:w14="http://schemas.microsoft.com/office/word/2010/wordml" mc:Ignorable="w14">
  <w:divs>
    <w:div w:id="425661864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1817839720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455225479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2484251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957957356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570309277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  <w:div w:id="1410467480">
      <w:bodyDiv w:val="1"/>
      <w:marLeft w:val="0"/>
      <w:marRight w:val="0"/>
      <w:marTop w:val="0"/>
      <w:marBottom w:val="0"/>
      <w:divBdr>
        <w:top w:val="none" w:sz="0" w:space="0" w:color="auto"/>
        <w:left w:val="none" w:sz="0" w:space="0" w:color="auto"/>
        <w:bottom w:val="none" w:sz="0" w:space="0" w:color="auto"/>
        <w:right w:val="none" w:sz="0" w:space="0" w:color="auto"/>
      </w:divBdr>
      <w:divsChild>
        <w:div w:id="418527848">
          <w:blockQuote w:val="1"/>
          <w:marLeft w:val="720"/>
          <w:marRight w:val="720"/>
          <w:marTop w:val="100"/>
          <w:marBottom w:val="100"/>
          <w:divBdr>
            <w:top w:val="none" w:sz="0" w:space="0" w:color="auto"/>
            <w:left w:val="none" w:sz="0" w:space="0" w:color="auto"/>
            <w:bottom w:val="none" w:sz="0" w:space="0" w:color="auto"/>
            <w:right w:val="none" w:sz="0" w:space="0" w:color="auto"/>
          </w:divBdr>
        </w:div>
      </w:divsChild>
    </w:div>
  </w:divs>
  <w:optimizeForBrowser/>
  <w:allowPNG/>
</w:webSettings>
</file>

<file path=word/_rels/document.xml.rels><?xml version="1.0" encoding="UTF-8" standalone="yes"?>
<Relationships xmlns="http://schemas.openxmlformats.org/package/2006/relationships"><Relationship Id="rId8" Type="http://schemas.openxmlformats.org/officeDocument/2006/relationships/image" Target="media/image3.gif"/><Relationship Id="rId13" Type="http://schemas.openxmlformats.org/officeDocument/2006/relationships/theme" Target="theme/theme1.xml"/><Relationship Id="rId3" Type="http://schemas.microsoft.com/office/2007/relationships/stylesWithEffects" Target="stylesWithEffects.xml"/><Relationship Id="rId7" Type="http://schemas.openxmlformats.org/officeDocument/2006/relationships/image" Target="media/image2.gif"/><Relationship Id="rId12" Type="http://schemas.openxmlformats.org/officeDocument/2006/relationships/fontTable" Target="fontTable.xml"/><Relationship Id="rId2" Type="http://schemas.openxmlformats.org/officeDocument/2006/relationships/styles" Target="styles.xml"/><Relationship Id="rId1" Type="http://schemas.openxmlformats.org/officeDocument/2006/relationships/numbering" Target="numbering.xml"/><Relationship Id="rId6" Type="http://schemas.openxmlformats.org/officeDocument/2006/relationships/image" Target="media/image1.gif"/><Relationship Id="rId11" Type="http://schemas.openxmlformats.org/officeDocument/2006/relationships/image" Target="media/image5.gif"/><Relationship Id="rId5" Type="http://schemas.openxmlformats.org/officeDocument/2006/relationships/webSettings" Target="webSettings.xml"/><Relationship Id="rId10" Type="http://schemas.openxmlformats.org/officeDocument/2006/relationships/hyperlink" Target="file:///F:\&#1091;&#1095;&#1077;&#1073;&#1072;\&#1062;&#1077;&#1085;&#1086;&#1086;&#1073;&#1088;&#1072;&#1079;&#1086;&#1074;&#1072;&#1085;&#1080;&#1077;\images\pic_1.gif" TargetMode="External"/><Relationship Id="rId4" Type="http://schemas.openxmlformats.org/officeDocument/2006/relationships/settings" Target="settings.xml"/><Relationship Id="rId9" Type="http://schemas.openxmlformats.org/officeDocument/2006/relationships/image" Target="media/image4.gif"/></Relationships>
</file>

<file path=word/theme/theme1.xml><?xml version="1.0" encoding="utf-8"?>
<a:theme xmlns:a="http://schemas.openxmlformats.org/drawingml/2006/main" name="Тема Office">
  <a:themeElements>
    <a:clrScheme name="Стандартная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Стандартная">
      <a:majorFont>
        <a:latin typeface="Cambria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libri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Стандартная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shade val="51000"/>
                <a:satMod val="130000"/>
              </a:schemeClr>
            </a:gs>
            <a:gs pos="80000">
              <a:schemeClr val="phClr">
                <a:shade val="93000"/>
                <a:satMod val="130000"/>
              </a:schemeClr>
            </a:gs>
            <a:gs pos="100000">
              <a:schemeClr val="phClr">
                <a:shade val="94000"/>
                <a:satMod val="135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/>
  <a:extraClrSchemeLst/>
</a:theme>
</file>

<file path=docProps/app.xml><?xml version="1.0" encoding="utf-8"?>
<Properties xmlns="http://schemas.openxmlformats.org/officeDocument/2006/extended-properties" xmlns:vt="http://schemas.openxmlformats.org/officeDocument/2006/docPropsVTypes">
  <Template>Normal</Template>
  <TotalTime>7</TotalTime>
  <Pages>8</Pages>
  <Words>1742</Words>
  <Characters>9931</Characters>
  <Application>Microsoft Office Word</Application>
  <DocSecurity>0</DocSecurity>
  <Lines>82</Lines>
  <Paragraphs>23</Paragraphs>
  <ScaleCrop>false</ScaleCrop>
  <HeadingPairs>
    <vt:vector size="2" baseType="variant">
      <vt:variant>
        <vt:lpstr>Название</vt:lpstr>
      </vt:variant>
      <vt:variant>
        <vt:i4>1</vt:i4>
      </vt:variant>
    </vt:vector>
  </HeadingPairs>
  <TitlesOfParts>
    <vt:vector size="1" baseType="lpstr">
      <vt:lpstr/>
    </vt:vector>
  </TitlesOfParts>
  <Company/>
  <LinksUpToDate>false</LinksUpToDate>
  <CharactersWithSpaces>11650</CharactersWithSpaces>
  <SharedDoc>false</SharedDoc>
  <HyperlinksChanged>false</HyperlinksChanged>
  <AppVersion>14.0000</AppVersion>
</Properties>
</file>

<file path=docProps/core.xml><?xml version="1.0" encoding="utf-8"?>
<cp:coreProperties xmlns:cp="http://schemas.openxmlformats.org/package/2006/metadata/core-properties" xmlns:dc="http://purl.org/dc/elements/1.1/" xmlns:dcterms="http://purl.org/dc/terms/" xmlns:dcmitype="http://purl.org/dc/dcmitype/" xmlns:xsi="http://www.w3.org/2001/XMLSchema-instance">
  <dc:title/>
  <dc:subject/>
  <dc:creator>Синчук Лариса Евгеньевна</dc:creator>
  <cp:keywords/>
  <dc:description/>
  <cp:lastModifiedBy>Синчук Лариса Евгеньевна</cp:lastModifiedBy>
  <cp:revision>2</cp:revision>
  <dcterms:created xsi:type="dcterms:W3CDTF">2014-06-02T08:20:00Z</dcterms:created>
  <dcterms:modified xsi:type="dcterms:W3CDTF">2014-06-03T04:08:00Z</dcterms:modified>
</cp:coreProperties>
</file>